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2C2F" w14:textId="348073A4" w:rsidR="008977CB" w:rsidRPr="00E012CB" w:rsidRDefault="00E012CB" w:rsidP="00E012CB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012CB">
        <w:rPr>
          <w:rFonts w:ascii="Times New Roman" w:hAnsi="Times New Roman" w:cs="Times New Roman"/>
          <w:sz w:val="28"/>
          <w:szCs w:val="28"/>
          <w:lang w:val="uk-UA"/>
        </w:rPr>
        <w:t>Доступ до інформації тимчасово обмежений на підставі по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012CB">
        <w:rPr>
          <w:rFonts w:ascii="Times New Roman" w:hAnsi="Times New Roman" w:cs="Times New Roman"/>
          <w:sz w:val="28"/>
          <w:szCs w:val="28"/>
          <w:lang w:val="uk-UA"/>
        </w:rPr>
        <w:t>танови НКРЕКП від 26 березня 2022 року № 349.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977CB" w:rsidRPr="00E0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1"/>
    <w:rsid w:val="00321DB1"/>
    <w:rsid w:val="008977CB"/>
    <w:rsid w:val="00E0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92D3"/>
  <w15:chartTrackingRefBased/>
  <w15:docId w15:val="{04425FF5-E0A5-468B-936B-25EE777F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2022-11-22T13:16:00Z</dcterms:created>
  <dcterms:modified xsi:type="dcterms:W3CDTF">2022-11-22T13:19:00Z</dcterms:modified>
</cp:coreProperties>
</file>