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87B" w:rsidRDefault="00ED4C9B">
      <w:pPr>
        <w:pStyle w:val="3"/>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w:t>
            </w:r>
          </w:p>
        </w:tc>
      </w:tr>
    </w:tbl>
    <w:p w:rsidR="00DB387B" w:rsidRDefault="00DB387B">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41"/>
        <w:gridCol w:w="2923"/>
        <w:gridCol w:w="641"/>
        <w:gridCol w:w="3750"/>
      </w:tblGrid>
      <w:tr w:rsidR="00DB387B">
        <w:tc>
          <w:tcPr>
            <w:tcW w:w="2250" w:type="dxa"/>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Генеральний 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DB387B" w:rsidRDefault="00ED4C9B">
            <w:pPr>
              <w:jc w:val="center"/>
              <w:rPr>
                <w:rFonts w:eastAsia="Times New Roman"/>
                <w:color w:val="000000"/>
              </w:rPr>
            </w:pPr>
            <w:r>
              <w:rPr>
                <w:rFonts w:eastAsia="Times New Roman"/>
                <w:color w:val="000000"/>
              </w:rPr>
              <w:t>Лунiн С.С.</w:t>
            </w:r>
          </w:p>
        </w:tc>
      </w:tr>
      <w:tr w:rsidR="00DB387B">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Style w:val="small-text1"/>
                <w:rFonts w:eastAsia="Times New Roman"/>
                <w:color w:val="000000"/>
              </w:rPr>
              <w:t>(прізвище та ініціали керівника)</w:t>
            </w:r>
          </w:p>
        </w:tc>
      </w:tr>
      <w:tr w:rsidR="00DB387B">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2</w:t>
            </w:r>
            <w:r w:rsidR="000B5A5B">
              <w:rPr>
                <w:rFonts w:eastAsia="Times New Roman"/>
                <w:color w:val="000000"/>
                <w:lang w:val="uk-UA"/>
              </w:rPr>
              <w:t>3</w:t>
            </w:r>
            <w:r>
              <w:rPr>
                <w:rFonts w:eastAsia="Times New Roman"/>
                <w:color w:val="000000"/>
              </w:rPr>
              <w:t>.04.2018</w:t>
            </w:r>
          </w:p>
        </w:tc>
      </w:tr>
      <w:tr w:rsidR="00DB387B">
        <w:tc>
          <w:tcPr>
            <w:tcW w:w="0" w:type="auto"/>
            <w:gridSpan w:val="4"/>
            <w:vMerge/>
            <w:tcBorders>
              <w:top w:val="nil"/>
              <w:left w:val="nil"/>
              <w:bottom w:val="nil"/>
              <w:right w:val="nil"/>
            </w:tcBorders>
            <w:vAlign w:val="center"/>
            <w:hideMark/>
          </w:tcPr>
          <w:p w:rsidR="00DB387B" w:rsidRDefault="00DB387B">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Style w:val="small-text1"/>
                <w:rFonts w:eastAsia="Times New Roman"/>
                <w:color w:val="000000"/>
              </w:rPr>
              <w:t>(дата)</w:t>
            </w:r>
          </w:p>
        </w:tc>
      </w:tr>
    </w:tbl>
    <w:p w:rsidR="00DB387B" w:rsidRDefault="00DB387B">
      <w:pPr>
        <w:rPr>
          <w:rFonts w:eastAsia="Times New Roman"/>
          <w:color w:val="000000"/>
        </w:rPr>
      </w:pPr>
    </w:p>
    <w:p w:rsidR="00DB387B" w:rsidRDefault="00ED4C9B">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2017 рік </w:t>
      </w:r>
    </w:p>
    <w:p w:rsidR="00DB387B" w:rsidRDefault="00ED4C9B">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1. Повне найменування емітента</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Приватне акцiонерне товариство "Нижньоднiстровська ГЕС"</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2. Організаційно-правова форма</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Приватне акціонерне товариство</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3. Код за ЄДРПОУ</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30149623</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4. Місцезнаходження</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proofErr w:type="gramStart"/>
            <w:r>
              <w:rPr>
                <w:rFonts w:eastAsia="Times New Roman"/>
                <w:color w:val="000000"/>
              </w:rPr>
              <w:t>Чернівецька ,</w:t>
            </w:r>
            <w:proofErr w:type="gramEnd"/>
            <w:r>
              <w:rPr>
                <w:rFonts w:eastAsia="Times New Roman"/>
                <w:color w:val="000000"/>
              </w:rPr>
              <w:t xml:space="preserve"> Сокирянський, 60236, м. Новоднiстровськ, 10 квартал, Будинок Управлiння, 4 поверх</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5. Міжміський код, телефон та факс</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(03741) 3-33-00 (03741) 3-15-36</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6. Електронна поштова адреса</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dn_gaes@emitent.net.ua</w:t>
            </w:r>
          </w:p>
        </w:tc>
      </w:tr>
    </w:tbl>
    <w:p w:rsidR="00DB387B" w:rsidRDefault="00ED4C9B">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8991"/>
        <w:gridCol w:w="1214"/>
      </w:tblGrid>
      <w:tr w:rsidR="00DB387B">
        <w:tc>
          <w:tcPr>
            <w:tcW w:w="0" w:type="auto"/>
            <w:tcBorders>
              <w:top w:val="nil"/>
              <w:left w:val="nil"/>
              <w:bottom w:val="nil"/>
              <w:right w:val="nil"/>
            </w:tcBorders>
            <w:tcMar>
              <w:top w:w="60" w:type="dxa"/>
              <w:left w:w="60" w:type="dxa"/>
              <w:bottom w:w="60" w:type="dxa"/>
              <w:right w:w="60" w:type="dxa"/>
            </w:tcMar>
            <w:vAlign w:val="bottom"/>
            <w:hideMark/>
          </w:tcPr>
          <w:p w:rsidR="00DB387B" w:rsidRDefault="00ED4C9B">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DB387B" w:rsidRDefault="00ED4C9B">
            <w:pPr>
              <w:jc w:val="center"/>
              <w:rPr>
                <w:rFonts w:eastAsia="Times New Roman"/>
                <w:color w:val="000000"/>
              </w:rPr>
            </w:pPr>
            <w:r>
              <w:rPr>
                <w:rFonts w:eastAsia="Times New Roman"/>
                <w:color w:val="000000"/>
              </w:rPr>
              <w:t>2</w:t>
            </w:r>
            <w:r w:rsidR="000B5A5B">
              <w:rPr>
                <w:rFonts w:eastAsia="Times New Roman"/>
                <w:color w:val="000000"/>
                <w:lang w:val="uk-UA"/>
              </w:rPr>
              <w:t>3</w:t>
            </w:r>
            <w:r>
              <w:rPr>
                <w:rFonts w:eastAsia="Times New Roman"/>
                <w:color w:val="000000"/>
              </w:rPr>
              <w:t>.04.2018</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Style w:val="small-text1"/>
                <w:rFonts w:eastAsia="Times New Roman"/>
                <w:color w:val="000000"/>
              </w:rPr>
              <w:t>(дата)</w:t>
            </w:r>
          </w:p>
        </w:tc>
      </w:tr>
    </w:tbl>
    <w:p w:rsidR="00DB387B" w:rsidRDefault="00DB387B">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42"/>
        <w:gridCol w:w="5783"/>
        <w:gridCol w:w="180"/>
        <w:gridCol w:w="1200"/>
      </w:tblGrid>
      <w:tr w:rsidR="00DB387B">
        <w:tc>
          <w:tcPr>
            <w:tcW w:w="0" w:type="auto"/>
            <w:tcBorders>
              <w:top w:val="nil"/>
              <w:left w:val="nil"/>
              <w:bottom w:val="nil"/>
              <w:right w:val="nil"/>
            </w:tcBorders>
            <w:tcMar>
              <w:top w:w="60" w:type="dxa"/>
              <w:left w:w="60" w:type="dxa"/>
              <w:bottom w:w="60" w:type="dxa"/>
              <w:right w:w="60" w:type="dxa"/>
            </w:tcMar>
            <w:vAlign w:val="bottom"/>
            <w:hideMark/>
          </w:tcPr>
          <w:p w:rsidR="00DB387B" w:rsidRDefault="00ED4C9B">
            <w:pPr>
              <w:rPr>
                <w:rFonts w:eastAsia="Times New Roman"/>
                <w:color w:val="000000"/>
              </w:rPr>
            </w:pPr>
            <w:r>
              <w:rPr>
                <w:rFonts w:eastAsia="Times New Roman"/>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DB387B" w:rsidRDefault="00ED4C9B">
            <w:pPr>
              <w:jc w:val="center"/>
              <w:rPr>
                <w:rFonts w:eastAsia="Times New Roman"/>
                <w:color w:val="000000"/>
              </w:rPr>
            </w:pPr>
            <w:r>
              <w:rPr>
                <w:rFonts w:eastAsia="Times New Roman"/>
                <w:color w:val="000000"/>
              </w:rPr>
              <w:t>Вiдомостi Нацiональної комiсiї з цiнних паперiв та фондового ринку №77</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DB387B" w:rsidRDefault="00ED4C9B">
            <w:pPr>
              <w:jc w:val="center"/>
              <w:rPr>
                <w:rFonts w:eastAsia="Times New Roman"/>
                <w:color w:val="000000"/>
              </w:rPr>
            </w:pPr>
            <w:r>
              <w:rPr>
                <w:rFonts w:eastAsia="Times New Roman"/>
                <w:color w:val="000000"/>
              </w:rPr>
              <w:t>2</w:t>
            </w:r>
            <w:r w:rsidR="000B5A5B">
              <w:rPr>
                <w:rFonts w:eastAsia="Times New Roman"/>
                <w:color w:val="000000"/>
                <w:lang w:val="uk-UA"/>
              </w:rPr>
              <w:t>3</w:t>
            </w:r>
            <w:r>
              <w:rPr>
                <w:rFonts w:eastAsia="Times New Roman"/>
                <w:color w:val="000000"/>
              </w:rPr>
              <w:t>.04.2017</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Style w:val="small-text1"/>
                <w:rFonts w:eastAsia="Times New Roman"/>
                <w:color w:val="000000"/>
              </w:rPr>
              <w:t>(дата)</w:t>
            </w:r>
          </w:p>
        </w:tc>
      </w:tr>
    </w:tbl>
    <w:p w:rsidR="00DB387B" w:rsidRDefault="00DB387B">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378"/>
        <w:gridCol w:w="1628"/>
        <w:gridCol w:w="1981"/>
        <w:gridCol w:w="1218"/>
      </w:tblGrid>
      <w:tr w:rsidR="00DB387B">
        <w:tc>
          <w:tcPr>
            <w:tcW w:w="0" w:type="auto"/>
            <w:tcBorders>
              <w:top w:val="nil"/>
              <w:left w:val="nil"/>
              <w:bottom w:val="nil"/>
              <w:right w:val="nil"/>
            </w:tcBorders>
            <w:tcMar>
              <w:top w:w="60" w:type="dxa"/>
              <w:left w:w="60" w:type="dxa"/>
              <w:bottom w:w="60" w:type="dxa"/>
              <w:right w:w="60" w:type="dxa"/>
            </w:tcMar>
            <w:vAlign w:val="bottom"/>
            <w:hideMark/>
          </w:tcPr>
          <w:p w:rsidR="00DB387B" w:rsidRDefault="00ED4C9B">
            <w:pPr>
              <w:rPr>
                <w:rFonts w:eastAsia="Times New Roman"/>
                <w:color w:val="000000"/>
              </w:rPr>
            </w:pPr>
            <w:r>
              <w:rPr>
                <w:rFonts w:eastAsia="Times New Roman"/>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DB387B" w:rsidRDefault="00ED4C9B">
            <w:pPr>
              <w:jc w:val="center"/>
              <w:rPr>
                <w:rFonts w:eastAsia="Times New Roman"/>
                <w:color w:val="000000"/>
              </w:rPr>
            </w:pPr>
            <w:r>
              <w:rPr>
                <w:rFonts w:eastAsia="Times New Roman"/>
                <w:color w:val="000000"/>
              </w:rPr>
              <w:t>dn-gaes.com</w:t>
            </w:r>
          </w:p>
        </w:tc>
        <w:tc>
          <w:tcPr>
            <w:tcW w:w="0" w:type="auto"/>
            <w:tcBorders>
              <w:top w:val="nil"/>
              <w:left w:val="nil"/>
              <w:bottom w:val="nil"/>
              <w:right w:val="nil"/>
            </w:tcBorders>
            <w:tcMar>
              <w:top w:w="60" w:type="dxa"/>
              <w:left w:w="60" w:type="dxa"/>
              <w:bottom w:w="60" w:type="dxa"/>
              <w:right w:w="60" w:type="dxa"/>
            </w:tcMar>
            <w:vAlign w:val="bottom"/>
            <w:hideMark/>
          </w:tcPr>
          <w:p w:rsidR="00DB387B" w:rsidRDefault="00ED4C9B">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DB387B" w:rsidRDefault="00ED4C9B">
            <w:pPr>
              <w:jc w:val="center"/>
              <w:rPr>
                <w:rFonts w:eastAsia="Times New Roman"/>
                <w:color w:val="000000"/>
              </w:rPr>
            </w:pPr>
            <w:r>
              <w:rPr>
                <w:rFonts w:eastAsia="Times New Roman"/>
                <w:color w:val="000000"/>
              </w:rPr>
              <w:t>2</w:t>
            </w:r>
            <w:r w:rsidR="000B5A5B">
              <w:rPr>
                <w:rFonts w:eastAsia="Times New Roman"/>
                <w:color w:val="000000"/>
                <w:lang w:val="uk-UA"/>
              </w:rPr>
              <w:t>3</w:t>
            </w:r>
            <w:r>
              <w:rPr>
                <w:rFonts w:eastAsia="Times New Roman"/>
                <w:color w:val="000000"/>
              </w:rPr>
              <w:t>.04.2017</w:t>
            </w:r>
          </w:p>
        </w:tc>
      </w:tr>
      <w:tr w:rsidR="00DB387B">
        <w:tc>
          <w:tcPr>
            <w:tcW w:w="0" w:type="auto"/>
            <w:tcMar>
              <w:top w:w="60" w:type="dxa"/>
              <w:left w:w="60" w:type="dxa"/>
              <w:bottom w:w="60" w:type="dxa"/>
              <w:right w:w="60" w:type="dxa"/>
            </w:tcMar>
            <w:vAlign w:val="center"/>
            <w:hideMark/>
          </w:tcPr>
          <w:p w:rsidR="00DB387B" w:rsidRDefault="00ED4C9B">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Style w:val="small-text1"/>
                <w:rFonts w:eastAsia="Times New Roman"/>
                <w:color w:val="000000"/>
              </w:rPr>
              <w:t>(дата)</w:t>
            </w:r>
          </w:p>
        </w:tc>
      </w:tr>
    </w:tbl>
    <w:p w:rsidR="00DB387B" w:rsidRDefault="00ED4C9B">
      <w:pPr>
        <w:pStyle w:val="3"/>
        <w:rPr>
          <w:rFonts w:eastAsia="Times New Roman"/>
          <w:color w:val="000000"/>
        </w:rPr>
      </w:pPr>
      <w:bookmarkStart w:id="0" w:name="_GoBack"/>
      <w:bookmarkEnd w:id="0"/>
      <w:r>
        <w:rPr>
          <w:rFonts w:eastAsia="Times New Roman"/>
          <w:color w:val="000000"/>
        </w:rPr>
        <w:br w:type="page"/>
      </w:r>
      <w:r>
        <w:rPr>
          <w:rFonts w:eastAsia="Times New Roman"/>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9911"/>
        <w:gridCol w:w="294"/>
      </w:tblGrid>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X</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X</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X</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5. Інформація про рейтингове агентство</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6. Інформація про засновників та/або учасників емітента та кількість і вартість акцій (розміру часток, паїв)</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X</w:t>
            </w:r>
          </w:p>
        </w:tc>
      </w:tr>
      <w:tr w:rsidR="00DB387B">
        <w:tc>
          <w:tcPr>
            <w:tcW w:w="0" w:type="auto"/>
            <w:gridSpan w:val="2"/>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7. Інформація про посадових осіб емітента:</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1) інформація щодо освіти та стажу роботи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X</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2) інформація про володіння посадовими особами емітента акціями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X</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8. Інформація про осіб, що володіють 10 відсотками та більше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X</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9. Інформація про загальні збори акціонерів</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X</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10. Інформація про дивіденди</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X</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11. Інформація про юридичних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X</w:t>
            </w:r>
          </w:p>
        </w:tc>
      </w:tr>
      <w:tr w:rsidR="00DB387B">
        <w:tc>
          <w:tcPr>
            <w:tcW w:w="0" w:type="auto"/>
            <w:gridSpan w:val="2"/>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12. Відомості про цінні папери емітента:</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X</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4) інформація про похідні цінні папери</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5) інформація про викуп (продаж раніше викуплених товариством акцій) власних акцій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13. Опис бізнесу</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X</w:t>
            </w:r>
          </w:p>
        </w:tc>
      </w:tr>
      <w:tr w:rsidR="00DB387B">
        <w:tc>
          <w:tcPr>
            <w:tcW w:w="0" w:type="auto"/>
            <w:gridSpan w:val="2"/>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14. Інформація про господарську та фінансову діяльність емітента:</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1) інформація про основні засоби емітента (за залишковою вартістю)</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X</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2) інформація щодо вартості чистих активів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X</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3) інформація про зобов'язання та забезпечення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X</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X</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5)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X</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6)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7) інформація про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8) інформація про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15.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16. Відомості щодо особливої інформації та інформації про іпотечні цінні папери, що виникала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X</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17. Інформація про стан корпоративного управління</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X</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lastRenderedPageBreak/>
              <w:t>18. Інформація про випуски іпотечних облігацій</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gridSpan w:val="2"/>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19. Інформація про склад, структуру і розмір іпотечного покриття:</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 xml:space="preserve">3) інформація про заміни іпотечних активів у складі іпотечного покриття або включення нових іпотечних активів </w:t>
            </w:r>
            <w:proofErr w:type="gramStart"/>
            <w:r>
              <w:rPr>
                <w:rFonts w:eastAsia="Times New Roman"/>
                <w:color w:val="000000"/>
              </w:rPr>
              <w:t>до складу</w:t>
            </w:r>
            <w:proofErr w:type="gramEnd"/>
            <w:r>
              <w:rPr>
                <w:rFonts w:eastAsia="Times New Roman"/>
                <w:color w:val="000000"/>
              </w:rPr>
              <w:t xml:space="preserve">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 xml:space="preserve">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w:t>
            </w:r>
            <w:proofErr w:type="gramStart"/>
            <w:r>
              <w:rPr>
                <w:rFonts w:eastAsia="Times New Roman"/>
                <w:color w:val="000000"/>
              </w:rPr>
              <w:t>до складу</w:t>
            </w:r>
            <w:proofErr w:type="gramEnd"/>
            <w:r>
              <w:rPr>
                <w:rFonts w:eastAsia="Times New Roman"/>
                <w:color w:val="000000"/>
              </w:rPr>
              <w:t xml:space="preserve">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21. Інформація про випуски іпотечних сертифікатів</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22. Інформація щодо реєстру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23. Основні відомості про ФОН</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24. Інформація про випуски сертифікатів ФОН</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25. Інформація про осіб, що володіють сертифікатами ФОН</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26. Розрахунок вартості чистих активів ФОН</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27. Правила ФОН</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28. Відомості про аудиторський висновок (звіт)</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X</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29. Текст аудиторського висновку (звіту)</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X</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30. Річна фінансова звітність</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31. Річна фінансова звітність, складена відповідно до Міжнародних стандартів бухгалтерського обліку (у разі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X</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32.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33.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spacing w:after="240"/>
              <w:rPr>
                <w:rFonts w:eastAsia="Times New Roman"/>
                <w:color w:val="000000"/>
              </w:rPr>
            </w:pPr>
            <w:r>
              <w:rPr>
                <w:rFonts w:eastAsia="Times New Roman"/>
                <w:color w:val="000000"/>
              </w:rPr>
              <w:t>34. Примітки</w:t>
            </w:r>
            <w:r>
              <w:rPr>
                <w:rFonts w:eastAsia="Times New Roman"/>
                <w:color w:val="000000"/>
              </w:rPr>
              <w:br/>
              <w:t>Товариство не користувалось послугами рейтингового агенства протягом 2017 року у зв'язку iз високою вартiстю послуг рейтингової оцiнки емiтента (близько 200 тис. грн.)</w:t>
            </w:r>
            <w:r>
              <w:rPr>
                <w:rFonts w:eastAsia="Times New Roman"/>
                <w:color w:val="000000"/>
              </w:rPr>
              <w:br/>
              <w:t>Серед засновникiв пiдприємства немає фiзичних осi</w:t>
            </w:r>
            <w:proofErr w:type="gramStart"/>
            <w:r>
              <w:rPr>
                <w:rFonts w:eastAsia="Times New Roman"/>
                <w:color w:val="000000"/>
              </w:rPr>
              <w:t>б.Ф</w:t>
            </w:r>
            <w:proofErr w:type="gramEnd"/>
            <w:r>
              <w:rPr>
                <w:rFonts w:eastAsia="Times New Roman"/>
                <w:color w:val="000000"/>
              </w:rPr>
              <w:t>iзичнi особи, якi є учасниками емiтента на кiнець звiтного перiоду не надавали згоди на розкриття їх персональних даних. Серед власникiв бiльш, нiж 10% акцiй емiтента фiзичних осiб немає.</w:t>
            </w:r>
            <w:r>
              <w:rPr>
                <w:rFonts w:eastAsia="Times New Roman"/>
                <w:color w:val="000000"/>
              </w:rPr>
              <w:br/>
              <w:t>Протягом 2017 року ПрАТ "Нижньоднiстровська ГЕС" облiгацiї, iншi цiннi папери не випускало.</w:t>
            </w:r>
            <w:r>
              <w:rPr>
                <w:rFonts w:eastAsia="Times New Roman"/>
                <w:color w:val="000000"/>
              </w:rPr>
              <w:br/>
              <w:t>Викуп власних акцiй, а також видачу сертифiкатiв цiнних паперiв впродовж звiтного перiоду товариство не здiйснювало у зв'язку iз дематерiалiзацiєю випуску акцiй.</w:t>
            </w:r>
            <w:r>
              <w:rPr>
                <w:rFonts w:eastAsia="Times New Roman"/>
                <w:color w:val="000000"/>
              </w:rPr>
              <w:br/>
              <w:t xml:space="preserve">Пiдприємство пiд час звiтного перiоду кредитiв не отримувало. Зобов'язань по кредитах не </w:t>
            </w:r>
            <w:r>
              <w:rPr>
                <w:rFonts w:eastAsia="Times New Roman"/>
                <w:color w:val="000000"/>
              </w:rPr>
              <w:lastRenderedPageBreak/>
              <w:t xml:space="preserve">має. </w:t>
            </w:r>
            <w:r>
              <w:rPr>
                <w:rFonts w:eastAsia="Times New Roman"/>
                <w:color w:val="000000"/>
              </w:rPr>
              <w:br/>
              <w:t xml:space="preserve">Цiннi папери у 2017 роцi товариством не випускались. </w:t>
            </w:r>
            <w:r>
              <w:rPr>
                <w:rFonts w:eastAsia="Times New Roman"/>
                <w:color w:val="000000"/>
              </w:rPr>
              <w:br/>
              <w:t>Зобов'язань по цiнних паперах не має.</w:t>
            </w:r>
          </w:p>
        </w:tc>
        <w:tc>
          <w:tcPr>
            <w:tcW w:w="0" w:type="auto"/>
            <w:vAlign w:val="center"/>
            <w:hideMark/>
          </w:tcPr>
          <w:p w:rsidR="00DB387B" w:rsidRDefault="00DB387B">
            <w:pPr>
              <w:rPr>
                <w:rFonts w:eastAsia="Times New Roman"/>
                <w:sz w:val="20"/>
                <w:szCs w:val="20"/>
              </w:rPr>
            </w:pPr>
          </w:p>
        </w:tc>
      </w:tr>
    </w:tbl>
    <w:p w:rsidR="00DB387B" w:rsidRDefault="00ED4C9B">
      <w:pPr>
        <w:pStyle w:val="3"/>
        <w:rPr>
          <w:rFonts w:eastAsia="Times New Roman"/>
          <w:color w:val="000000"/>
        </w:rPr>
      </w:pPr>
      <w:r>
        <w:rPr>
          <w:rFonts w:eastAsia="Times New Roman"/>
          <w:color w:val="000000"/>
        </w:rPr>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1. Повне найменування</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Приватне акцiонерне товариство "Нижньоднiстровська ГЕС"</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10391050003000004</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3. Дата проведення державної реєстрації</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26.03.1999</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4. Територія (область)</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xml:space="preserve">Чернівецька </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5. Статутний капітал (грн)</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475329410</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6. Відсоток акцій у статутному капіталі, що належить державі</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87.4</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0</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8. Середня кількість працівників (осіб)</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134</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35.11 Виробництво електроенргiї</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35.13 Розподiлення та постачання електроенергiї</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68.20 Здавання в оренду власного майна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10. Органи управління підприємства</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Органами управлiння ПрАТ "Нижньоднiстровська ГЕС" є загальнi збори акцiонерiв, Наглядова рада, Ревiзiйна комiсiя, Виконавчий орган (одноосiбний).</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11. Банки, що обслуговують емітента: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Публiчне акцiонерне товариство "Державний ощадний банк України"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2) МФО банку</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356334</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3) поточний рахунок</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26008300508417</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Публiчне акцiонерне товариство "Державний ощадний банк України"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5) МФО банку</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356334</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lastRenderedPageBreak/>
              <w:t>6) поточний рахунок</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26008300508417</w:t>
            </w:r>
          </w:p>
        </w:tc>
      </w:tr>
    </w:tbl>
    <w:p w:rsidR="00DB387B" w:rsidRDefault="00ED4C9B">
      <w:pPr>
        <w:pStyle w:val="4"/>
        <w:rPr>
          <w:rFonts w:eastAsia="Times New Roman"/>
          <w:color w:val="000000"/>
        </w:rPr>
      </w:pPr>
      <w:r>
        <w:rPr>
          <w:rFonts w:eastAsia="Times New Roman"/>
          <w:color w:val="000000"/>
        </w:rPr>
        <w:t>12. Інформація про одержані ліцензії (дозволи) на окремі види діяльності*</w:t>
      </w:r>
    </w:p>
    <w:tbl>
      <w:tblPr>
        <w:tblW w:w="5000" w:type="pct"/>
        <w:tblCellMar>
          <w:top w:w="15" w:type="dxa"/>
          <w:left w:w="15" w:type="dxa"/>
          <w:bottom w:w="15" w:type="dxa"/>
          <w:right w:w="15" w:type="dxa"/>
        </w:tblCellMar>
        <w:tblLook w:val="04A0" w:firstRow="1" w:lastRow="0" w:firstColumn="1" w:lastColumn="0" w:noHBand="0" w:noVBand="1"/>
      </w:tblPr>
      <w:tblGrid>
        <w:gridCol w:w="5863"/>
        <w:gridCol w:w="955"/>
        <w:gridCol w:w="1020"/>
        <w:gridCol w:w="1157"/>
        <w:gridCol w:w="1194"/>
      </w:tblGrid>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rsidR="00DB387B">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5</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Здiйснення пiдприємницької дiяльностi з виробництва електричної енергiї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АГ 579671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15.02.2012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НКРЕ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Необмежена</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Лiцензiя безстрокова.</w:t>
            </w:r>
          </w:p>
        </w:tc>
      </w:tr>
      <w:tr w:rsidR="00DB387B">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Здiйснення дiяльностi з постачання електроенергiї за нерегульованим тарифом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АГ 579672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15.02.2012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НКРЕ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Необмежена</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Лiцензiя безстрокова.</w:t>
            </w:r>
          </w:p>
        </w:tc>
      </w:tr>
      <w:tr w:rsidR="00DB387B">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 </w:t>
            </w:r>
          </w:p>
        </w:tc>
      </w:tr>
    </w:tbl>
    <w:p w:rsidR="00DB387B" w:rsidRDefault="00ED4C9B">
      <w:pPr>
        <w:pStyle w:val="4"/>
        <w:rPr>
          <w:rFonts w:eastAsia="Times New Roman"/>
          <w:color w:val="000000"/>
        </w:rPr>
      </w:pPr>
      <w:r>
        <w:rPr>
          <w:rFonts w:eastAsia="Times New Roman"/>
          <w:color w:val="000000"/>
        </w:rPr>
        <w:t>Інформація щодо посади корпоративного секретаря</w:t>
      </w:r>
    </w:p>
    <w:p w:rsidR="00DB387B" w:rsidRDefault="00ED4C9B">
      <w:pPr>
        <w:jc w:val="center"/>
        <w:rPr>
          <w:rFonts w:eastAsia="Times New Roman"/>
          <w:color w:val="000000"/>
        </w:rPr>
      </w:pPr>
      <w:r>
        <w:rPr>
          <w:rFonts w:eastAsia="Times New Roman"/>
          <w:color w:val="000000"/>
        </w:rPr>
        <w:t>(для акціонерних товариств)</w:t>
      </w:r>
    </w:p>
    <w:tbl>
      <w:tblPr>
        <w:tblW w:w="5000" w:type="pct"/>
        <w:tblCellMar>
          <w:top w:w="15" w:type="dxa"/>
          <w:left w:w="15" w:type="dxa"/>
          <w:bottom w:w="15" w:type="dxa"/>
          <w:right w:w="15" w:type="dxa"/>
        </w:tblCellMar>
        <w:tblLook w:val="04A0" w:firstRow="1" w:lastRow="0" w:firstColumn="1" w:lastColumn="0" w:noHBand="0" w:noVBand="1"/>
      </w:tblPr>
      <w:tblGrid>
        <w:gridCol w:w="2158"/>
        <w:gridCol w:w="2370"/>
        <w:gridCol w:w="2747"/>
        <w:gridCol w:w="2914"/>
      </w:tblGrid>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Дата введення посади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 xml:space="preserve">Дата призначення особи </w:t>
            </w:r>
            <w:proofErr w:type="gramStart"/>
            <w:r>
              <w:rPr>
                <w:rFonts w:eastAsia="Times New Roman"/>
                <w:b/>
                <w:bCs/>
                <w:color w:val="000000"/>
                <w:sz w:val="20"/>
                <w:szCs w:val="20"/>
              </w:rPr>
              <w:t>на посаду</w:t>
            </w:r>
            <w:proofErr w:type="gramEnd"/>
            <w:r>
              <w:rPr>
                <w:rFonts w:eastAsia="Times New Roman"/>
                <w:b/>
                <w:bCs/>
                <w:color w:val="000000"/>
                <w:sz w:val="20"/>
                <w:szCs w:val="20"/>
              </w:rPr>
              <w:t xml:space="preserve">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 xml:space="preserve">Прізвище, ім'я, по батькові особи, призначеної </w:t>
            </w:r>
            <w:proofErr w:type="gramStart"/>
            <w:r>
              <w:rPr>
                <w:rFonts w:eastAsia="Times New Roman"/>
                <w:b/>
                <w:bCs/>
                <w:color w:val="000000"/>
                <w:sz w:val="20"/>
                <w:szCs w:val="20"/>
              </w:rPr>
              <w:t>на посаду</w:t>
            </w:r>
            <w:proofErr w:type="gramEnd"/>
            <w:r>
              <w:rPr>
                <w:rFonts w:eastAsia="Times New Roman"/>
                <w:b/>
                <w:bCs/>
                <w:color w:val="000000"/>
                <w:sz w:val="20"/>
                <w:szCs w:val="20"/>
              </w:rPr>
              <w:t xml:space="preserve">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Контактні дані: телефон та адреса електронної пошти корпоративного секретаря</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4</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28.02.2012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28.02.2012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Бакулiн Олег Юрiйович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067 372 41 63, bakulin2006@ukr.net</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Опис</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Рiшення про введення посади корпоративного секретаря та призначення на зазначену посаду фiзичної особи Бакулiна Олега Юрiйовича прийнято Наглядовою радою товариства (протокол №1 вiд 28 лютого 2012 року).</w:t>
            </w:r>
          </w:p>
        </w:tc>
      </w:tr>
    </w:tbl>
    <w:p w:rsidR="00DB387B" w:rsidRDefault="00ED4C9B">
      <w:pPr>
        <w:pStyle w:val="3"/>
        <w:rPr>
          <w:rFonts w:eastAsia="Times New Roman"/>
          <w:color w:val="000000"/>
        </w:rPr>
      </w:pPr>
      <w:r>
        <w:rPr>
          <w:rFonts w:eastAsia="Times New Roman"/>
          <w:color w:val="000000"/>
        </w:rPr>
        <w:t>IV.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firstRow="1" w:lastRow="0" w:firstColumn="1" w:lastColumn="0" w:noHBand="0" w:noVBand="1"/>
      </w:tblPr>
      <w:tblGrid>
        <w:gridCol w:w="2398"/>
        <w:gridCol w:w="2614"/>
        <w:gridCol w:w="2148"/>
        <w:gridCol w:w="3029"/>
      </w:tblGrid>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Мiнiстерство енергетики та вугiльної промисловостi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37471933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01601Україна м.Київ вул. Хрещатик, 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87.4012</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ПАТ "Захiденерго"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23269555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79026 м.Львiв Козельницька,15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1.0728</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ПАТ "Укргiдропроект"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00114117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61166 м. Харкiв пр. Ленiна, 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0.0126</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ПАТ "Укргiдроенерго"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20588716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07300 м. Вишгород Промислова зона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11.4797</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ДАХК "Енергобуд"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23510755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01032 м. Київ Комiнтерну, 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0.0127</w:t>
            </w:r>
          </w:p>
        </w:tc>
      </w:tr>
      <w:tr w:rsidR="00DB387B">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lastRenderedPageBreak/>
              <w:t>Прізвище, ім"я, по батькові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DB387B">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Фiзичнi особи в кiлькостi 17 чол.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0.021</w:t>
            </w:r>
          </w:p>
        </w:tc>
      </w:tr>
      <w:tr w:rsidR="00DB387B">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100.000000000000</w:t>
            </w:r>
          </w:p>
        </w:tc>
      </w:tr>
    </w:tbl>
    <w:p w:rsidR="00DB387B" w:rsidRDefault="00ED4C9B">
      <w:pPr>
        <w:pStyle w:val="3"/>
        <w:rPr>
          <w:rFonts w:eastAsia="Times New Roman"/>
          <w:color w:val="000000"/>
        </w:rPr>
      </w:pPr>
      <w:r>
        <w:rPr>
          <w:rFonts w:eastAsia="Times New Roman"/>
          <w:color w:val="000000"/>
        </w:rPr>
        <w:t>V. Інформація про посадових осіб емітента</w:t>
      </w:r>
    </w:p>
    <w:p w:rsidR="00DB387B" w:rsidRDefault="00ED4C9B">
      <w:pPr>
        <w:pStyle w:val="4"/>
        <w:rPr>
          <w:rFonts w:eastAsia="Times New Roman"/>
          <w:color w:val="000000"/>
        </w:rPr>
      </w:pPr>
      <w:r>
        <w:rPr>
          <w:rFonts w:eastAsia="Times New Roman"/>
          <w:color w:val="000000"/>
        </w:rPr>
        <w:t>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1) посада*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Генеральний директор</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Лунiн Сергiй Сегiйович</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3) ідентифікаційний код юридичної особи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768942</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4) рік народження**</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1959</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5) освіта**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Вища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6) стаж роботи (років)**</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22</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7) найменування підприємства та попередня посада, яку займав**</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ПрАТ "Днiстровська ГАЕС", Генеральний директор.</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25.01.2012 до 29 грудня 2022 року</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9) Опис</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Обсяг повноважень та обов'язкiв, а також розмiр винагороди визначається умовами Контракту i внутрiшнiми положеннями Товариства. Непогашеної судимостi за корисливi та посадовi злочини не має. Iншi вiдомостi вiдсутнi.</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1) посада*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Головний бухгалтер</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Шевчишена Нiна Павлiвна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3) ідентифікаційний код юридичної особи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194847</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4) рік народження**</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1963</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lastRenderedPageBreak/>
              <w:t>5) освіта**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Вища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6) стаж роботи (років)**</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6</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7) найменування підприємства та попередня посада, яку займав**</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ПрАТ "Днiстровська ГАЕС", головний бухгалтер.</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01.04.2010 не визначений</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9) Опис</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Обсяг повноважень та обов'язкiв визначається Посадовою iнструкцiєю. Розмiр винагороди визначеноi посадовим окладом головного бухгалтера у вiдповiдностi до штатного розкладу Товариства. Непогашеної судимостi за корисливi та посадовi злочини не має. Iншi вiдомостi вiдсутнi.</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1) посада*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Голова Наглядової ради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Кальнiченко Валентина Анатолiївна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3) ідентифікаційний код юридичної особи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4) рік народження**</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5) освіта**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6) стаж роботи (років)**</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7) найменування підприємства та попередня посада, яку займав**</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Посади протягом останнiх п’яти рокiв: 2011-2013– заступник директора департаменту ФДМУ; 2013- 04.2016 - начальник управлiння ФДМУ, з 04.2016 року – директор Департаменту корпоративних та майнових вiдносин Мiненерговугiлля України.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25.04.2017 3 роки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9) Опис</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Рiшенням чергових загальних зборiв акцiонерiв 25 серпня 2017 року обрано членом Наглядової ради Кальнiченко Валентину Анатолiївну. Не володiє часткою в статутному капiталi емiтента. Посадова особа не дала згоду на розкриття паспортних даних. Непогашеної судимостi за корисливi та посадовi злочини немає. Посадова особа є представником акцiонера Товариства – Мiнiстерства енергетики та вугiльної промисловостi України. Iнша iнформацiя вiдсутня.</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1) посада*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lastRenderedPageBreak/>
              <w:t>Член Наглядової ради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Дубенко Нiла Василiвна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3) ідентифікаційний код юридичної особи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4) рік народження**</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5) освіта**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6) стаж роботи (років)**</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7) найменування підприємства та попередня посада, яку займав**</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 xml:space="preserve">Посади протягом останнiх п’яти рокiв: 2011–06.2012 – заступник директора департаменту Державної комiсiї з регулювання ринкiв фiнансових послуг України, 06.2012-09.2013 – заступник директора департаменту Нацiональної комiсiї, що здiйснює державне регулювання у сферi ринкiв фiнансових послуг; 09.2013-12.2014 – заступник начальника управлiння, в.о. начальника Управлiння бухгалтерського облiку та звiтностi Мiнiстерства закордонних справ України, 12.2014-01.2015 – головний спецiалiст Департаменту бухгалтерського облiку та звiтностi Мiнiстерства енергетики та вугiльної промисловостi України, 01.2015-10.2015 – начальник Управлiння Департаменту внутрiшнього аудиту Мiненерговугiлля України, з 10.2015- директор Департаменту внутрiшнього аудиту Мiненерговугiлля України. </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25.04.2017 3 роки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9) Опис</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 xml:space="preserve">Рiшенням чергових загальних зборiв акцiонерiв 25 квiтня 2017 року обрано членом Наглядової ради Дубенко Нiлу Василiвну. Не володiє часткою в статутному капiталi емiтента. Посадова особа не дала згоду на розкриття паспортних даних. Непогашеної судимостi за корисливi та посадовi злочини </w:t>
            </w:r>
            <w:proofErr w:type="gramStart"/>
            <w:r>
              <w:rPr>
                <w:rFonts w:eastAsia="Times New Roman"/>
                <w:color w:val="000000"/>
              </w:rPr>
              <w:t>немає.Посадова</w:t>
            </w:r>
            <w:proofErr w:type="gramEnd"/>
            <w:r>
              <w:rPr>
                <w:rFonts w:eastAsia="Times New Roman"/>
                <w:color w:val="000000"/>
              </w:rPr>
              <w:t xml:space="preserve"> особа є представником акцiонера Товариства ¬– Мiнiстерства енергетики та вугiльної промисловостi України. Iнша iнформацiя вiдсутня.</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1) посада*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Член Наглядової ради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Крiпiневич Зоя Миколаївна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3) ідентифікаційний код юридичної особи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4) рік народження**</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5) освіта**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6) стаж роботи (років)**</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7) найменування підприємства та попередня посада, яку займав**</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Посади протягом останнiх п’яти рокiв: 2011- 05.2016 – заступник начальника вiддiлу, начальник вiддiлу ФДМУ, з – 05.2016 начальник вiддiлу корпоративних прав Департаменту корпоративних та майнових вiдносин Мiненерговугiлля України.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lastRenderedPageBreak/>
              <w:t>8) дата набуття повноважень та термін, на який обрано (призначено)</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25.04.2017 3 роки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9) Опис</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Рiшенням чергових загальних зборiв акцiонерiв 25 квiтня 2017 року обрано членом Наглядової ради Крiпiневич Зою Миколаївну. Не володiє часткою в статутному капiталi емiтента. Посадова особа не дала згоду на розкриття паспортних даних. Непогашеної судимостi за корисливi та посадовi злочини немає. Посадова особа є представником акцiонера Товариства ¬– Мiнiстерства енергетики та вугiльної промисловостi України. Iнша iнформацiя вiдсутня.</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1) посада*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Член Наглядової ради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Баглай Оксана Олександрiвна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3) ідентифікаційний код юридичної особи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4) рік народження**</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5) освіта**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6) стаж роботи (років)**</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7) найменування підприємства та попередня посада, яку займав**</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Посади протягом останнiх п’яти рокiв</w:t>
            </w:r>
            <w:proofErr w:type="gramStart"/>
            <w:r>
              <w:rPr>
                <w:rFonts w:eastAsia="Times New Roman"/>
                <w:color w:val="000000"/>
              </w:rPr>
              <w:t>: :</w:t>
            </w:r>
            <w:proofErr w:type="gramEnd"/>
            <w:r>
              <w:rPr>
                <w:rFonts w:eastAsia="Times New Roman"/>
                <w:color w:val="000000"/>
              </w:rPr>
              <w:t xml:space="preserve"> 2011- 10.2015 – начальник вiддiлу Державної фiнансової iнспекцiї в Запорiзькiй областi; заступник начальника вiддiлу, начальник вiддiлу Державної фiнансової iнспекцiї України, 10.2015-11.2015 головний спецiалiст, завiдувач сектору Мiненерговугiлля, з 11.2015 - начальник вiддiлу монiторингу ризикових операцiй Департаменту внутрiшнього аудиту Мiненерговугiлля України.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25.04.2028 3 роки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9) Опис</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Рiшенням чергових загальних зборiв акцiонерiв 25 квiтня 2017 року обрано членом Наглядової ради Баглай Оксану Олександрiвну. Не володiє часткою в статутному капiталi емiтента. Посадова особа не дала згоду на розкриття паспортних даних. Непогашеної судимостi за корисливi та посадовi злочини немає. Посадова особа є представником акцiонера Товариства ¬– Мiнiстерства енергетики та вугiльної промисловостi України. Iнша iнформацiя вiдсутня.</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1) посада*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Член Наглядової ради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Бурунська Юлiя Юрiївна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3) ідентифікаційний код юридичної особи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lastRenderedPageBreak/>
              <w:t>4) рік народження**</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5) освіта**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6) стаж роботи (років)**</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7) найменування підприємства та попередня посада, яку займав**</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Посада протягом останнiх п’яти рокiв – Директор департаменту юридичного забезпечення та майнових вiдносин ПАТ «Укргiдроенерго».</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25.04.2017 3 роки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9) Опис</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Рiшенням чергових загальних зборiв акцiонерiв 25 квiтня 2017 року обрано членом Наглядової ради Бурунську Юлiю Юрiївну. Не володiє часткою в статутному капiталi емiтента. Посадова особа не дала згоду на розкриття паспортних даних. Непогашеної судимостi за корисливi та посадовi злочини немає. Посадова особа є представником акцiонера Товариства ¬– ПАТ «Укргiдроенерго». Iнша iнформацiя вiдсутня.</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1) посада*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Голова Ревiзiйної комiсiї</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Дребот Свiтлана Миколаївна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3) ідентифікаційний код юридичної особи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4) рік народження**</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5) освіта**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6) стаж роботи (років)**</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7) найменування підприємства та попередня посада, яку займав**</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Посади протягом останнiх п’яти рокiв: 2010 – 2011 – заступник начальника Василькiвської мiжрайонної Державної фiнансової iнспекцiї, 2011-2013 - начальник Василькiвської мiжрайонної Державної фiнансової iнспекцiї; 12.2013-02.2015- головний державний аудитор Державної фiнансової iнспекцiї України в Запорiзькiй обл.; 02.2015-02.2015 – головний спецiалiст Управлiння внутрiшнього аудиту Мiненерговугiлля України; 02.2015- 11.2015 – заступник начальника управлiння внутрiшнього аудиту Мiненерговугiлля України; з 11.2015 року – заступник директора Департаменту внутрiшнього аудиту Мiненерговугiлля України.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25.04.2017 3 роки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9) Опис</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 xml:space="preserve">Рiшенням чергових загальних зборiв акцiонерiв 25 квiтня 2017 року обрано членом Ревiзiйної комiсiї Дребот Свiтлану Миколаївну. Не володiє часткою в статутному капiталi емiтента. Посадова особа не дала згоду на розкриття паспортних даних. Непогашеної судимостi за </w:t>
            </w:r>
            <w:r>
              <w:rPr>
                <w:rFonts w:eastAsia="Times New Roman"/>
                <w:color w:val="000000"/>
              </w:rPr>
              <w:lastRenderedPageBreak/>
              <w:t>корисливi та посадовi злочини немає. Посадова особа є представником акцiонера Товариства ¬– Мiнiстерства енергетики та вугiльної промисловостi України. Iнша iнформацiя вiдсутня.</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lastRenderedPageBreak/>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1) посада*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Член Ревiзiйної комiсiї</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Мисниченко Марина Федорiвна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3) ідентифікаційний код юридичної особи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4) рік народження**</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5) освіта**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6) стаж роботи (років)**</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7) найменування підприємства та попередня посада, яку займав**</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 xml:space="preserve">Посада протягом останнiх п’яти рокiв: 2011-02.2013 - головний державний аудитор КРУ в м. Києвi; 02.2013-10.2014 – начальник фiнансово-економiчного вiддiлу </w:t>
            </w:r>
            <w:proofErr w:type="gramStart"/>
            <w:r>
              <w:rPr>
                <w:rFonts w:eastAsia="Times New Roman"/>
                <w:color w:val="000000"/>
              </w:rPr>
              <w:t>КП«</w:t>
            </w:r>
            <w:proofErr w:type="gramEnd"/>
            <w:r>
              <w:rPr>
                <w:rFonts w:eastAsia="Times New Roman"/>
                <w:color w:val="000000"/>
              </w:rPr>
              <w:t>Фармацiя»; 10.2015-10.2015 головний спецiалiст вiддiлу аудиту Мiнiстерства внутрiшнiх справ України; 10.2015-11.2015– головний спецiалiст патронатної служби Мiненерговугiлля; з 11.2015- головний спецiалiст вiддiлу аудиту пiдприємств нафтогазового сектору Департаменту внутрiшнього аудиту Мiненерго вугiлля.</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25.04.2017 3 роки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9) Опис</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Рiшенням чергових загальних зборiв акцiонерiв 25 квiтня 2017 року обрано членом Ревiзiйної комiсiї Мисниченко Марину Федорiвну. Не володiє часткою в статутному капiталi емiтента. Посадова особа не дала згоду на розкриття паспортних даних. Непогашеної судимостi за корисливi та посадовi злочини немає. Посадова особа є представником акцiонера Товариства – Мiнiстерства енергетики та вугiльної промисловостi України. Iнша iнформацiя вiдсутня.</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1) посада*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Член Ревiзiйної комiсiї</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Шамбра Iгор Валерiйович</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3) ідентифікаційний код юридичної особи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4) рік народження**</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5) освіта**</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6) стаж роботи (років)**</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7) найменування підприємства та попередня посада, яку займав**</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lastRenderedPageBreak/>
              <w:t xml:space="preserve">Посада протягом останнiх п’яти рокiв: 02.2013–05.2013 – головний державний податковий ревiзор – iнспектор Новоднiстровського вiддiлення Сокирянської ОДПI; 05.2013-04.2015 - головний державний податковий ревiзор – iнспектор Сокирянської ОДПI; 04.2015- 02.2016 – начальник вiддiлу податкового аудиту Сокирянської ОДПI; з 02.2016 - завiдувач сектору аудиту Сокирянської ОДПI у Чернiвецькiй областi. </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25.04.2017 3 роки</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9) Опис</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Рiшенням чергових загальних зборiв акцiонерiв 25 квiтня 2017 року обрано членом Ревiзiйної комiсiї Шамбру Iгоря Валерiйовича. Не володiє часткою в статутному капiталi емiтента. Посадова особа не дала згоду на розкриття паспортних даних. Непогашеної судимостi за корисливi та посадовi злочини немає. Посадова особа є представником акцiонера Товариства ¬ Мiнiстерства енергетики та вугiльної промисловостi України. Iнша iнформацiя вiдсутня.</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bl>
    <w:p w:rsidR="00DB387B" w:rsidRDefault="00DB387B">
      <w:pPr>
        <w:rPr>
          <w:rFonts w:eastAsia="Times New Roman"/>
          <w:color w:val="000000"/>
        </w:rPr>
        <w:sectPr w:rsidR="00DB387B">
          <w:pgSz w:w="11907" w:h="16840"/>
          <w:pgMar w:top="1134" w:right="851" w:bottom="851" w:left="851" w:header="0" w:footer="0" w:gutter="0"/>
          <w:cols w:space="708"/>
          <w:docGrid w:linePitch="360"/>
        </w:sectPr>
      </w:pPr>
    </w:p>
    <w:p w:rsidR="00DB387B" w:rsidRDefault="00ED4C9B">
      <w:pPr>
        <w:pStyle w:val="4"/>
        <w:rPr>
          <w:rFonts w:eastAsia="Times New Roman"/>
          <w:color w:val="000000"/>
        </w:rPr>
      </w:pPr>
      <w:r>
        <w:rPr>
          <w:rFonts w:eastAsia="Times New Roman"/>
          <w:color w:val="000000"/>
        </w:rPr>
        <w:lastRenderedPageBreak/>
        <w:t>2. Інформація про володіння посадовими особами емітента акціями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439"/>
        <w:gridCol w:w="2808"/>
        <w:gridCol w:w="2168"/>
        <w:gridCol w:w="1224"/>
        <w:gridCol w:w="1666"/>
        <w:gridCol w:w="819"/>
        <w:gridCol w:w="1440"/>
        <w:gridCol w:w="1550"/>
        <w:gridCol w:w="1725"/>
      </w:tblGrid>
      <w:tr w:rsidR="00DB387B">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Прізвище,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Кількість акцій (шт.)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DB387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7B" w:rsidRDefault="00DB387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7B" w:rsidRDefault="00DB387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7B" w:rsidRDefault="00DB387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7B" w:rsidRDefault="00DB387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7B" w:rsidRDefault="00DB387B">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9</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Кальнiченко Валентина Анатолiївна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Дубенко Нiла Василiвна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Крiпiневич Зоя Миколаївна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Баглай Оксана Олександрiвна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Генеральний директор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Лунiн Сергiй Сергiйович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768942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Головний бухгалтер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Шевчишена Нiна Павлiвна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194847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Бурунська Юлiя Юрiївна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Голова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Дребот Свiтлана Миколаївна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Мисниченко Марина Федорiвна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Шамбра Iгор Валерiйович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r>
      <w:tr w:rsidR="00DB387B">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right"/>
              <w:rPr>
                <w:rFonts w:eastAsia="Times New Roman"/>
                <w:color w:val="000000"/>
                <w:sz w:val="20"/>
                <w:szCs w:val="20"/>
              </w:rPr>
            </w:pPr>
            <w:r>
              <w:rPr>
                <w:rStyle w:val="a4"/>
                <w:rFonts w:eastAsia="Times New Roman"/>
                <w:color w:val="000000"/>
                <w:sz w:val="20"/>
                <w:szCs w:val="20"/>
              </w:rPr>
              <w:lastRenderedPageBreak/>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0</w:t>
            </w:r>
          </w:p>
        </w:tc>
      </w:tr>
    </w:tbl>
    <w:p w:rsidR="00DB387B" w:rsidRDefault="00DB387B">
      <w:pPr>
        <w:rPr>
          <w:rFonts w:eastAsia="Times New Roman"/>
          <w:color w:val="000000"/>
        </w:rPr>
        <w:sectPr w:rsidR="00DB387B">
          <w:pgSz w:w="16840" w:h="11907" w:orient="landscape"/>
          <w:pgMar w:top="1134" w:right="1134" w:bottom="851" w:left="851" w:header="0" w:footer="0" w:gutter="0"/>
          <w:cols w:space="720"/>
        </w:sectPr>
      </w:pPr>
    </w:p>
    <w:p w:rsidR="00DB387B" w:rsidRDefault="00ED4C9B">
      <w:pPr>
        <w:pStyle w:val="3"/>
        <w:rPr>
          <w:rFonts w:eastAsia="Times New Roman"/>
          <w:color w:val="000000"/>
        </w:rPr>
      </w:pPr>
      <w:r>
        <w:rPr>
          <w:rFonts w:eastAsia="Times New Roman"/>
          <w:color w:val="000000"/>
        </w:rPr>
        <w:lastRenderedPageBreak/>
        <w:t>VI. Інформація про власників пакетів, яким належить 10 і більше відсотків акцій емітента (для акціонерних товариств, крім публічних) / Інформація про власників пакетів, яким належить 5 і більше відсотків акцій емітента (для публічних акціонерних товариств)</w:t>
      </w:r>
    </w:p>
    <w:tbl>
      <w:tblPr>
        <w:tblW w:w="5000" w:type="pct"/>
        <w:tblCellMar>
          <w:top w:w="15" w:type="dxa"/>
          <w:left w:w="15" w:type="dxa"/>
          <w:bottom w:w="15" w:type="dxa"/>
          <w:right w:w="15" w:type="dxa"/>
        </w:tblCellMar>
        <w:tblLook w:val="04A0" w:firstRow="1" w:lastRow="0" w:firstColumn="1" w:lastColumn="0" w:noHBand="0" w:noVBand="1"/>
      </w:tblPr>
      <w:tblGrid>
        <w:gridCol w:w="2927"/>
        <w:gridCol w:w="2469"/>
        <w:gridCol w:w="2992"/>
        <w:gridCol w:w="1425"/>
        <w:gridCol w:w="2337"/>
        <w:gridCol w:w="1054"/>
        <w:gridCol w:w="1635"/>
      </w:tblGrid>
      <w:tr w:rsidR="00DB387B">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DB387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7B" w:rsidRDefault="00DB387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7B" w:rsidRDefault="00DB387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7B" w:rsidRDefault="00DB387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7B" w:rsidRDefault="00DB387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7B" w:rsidRDefault="00DB387B">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привілейовані іменні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Мiнiстерство енергетики та вугiльної промисловостi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37471933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01601 Україна Київська Д/н м.Київ Хрещатик, 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41544339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87.40000000000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41544339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ПАТ "Укргiдроенерго"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20588716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07300 Україна Київська Д/н м. Вишгород Промислова зона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5456639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11.48000000000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5456639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gridSpan w:val="3"/>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DB387B">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DB387B" w:rsidRDefault="00DB387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7B" w:rsidRDefault="00DB387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7B" w:rsidRDefault="00DB387B">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привілейовані іменні</w:t>
            </w:r>
          </w:p>
        </w:tc>
      </w:tr>
      <w:tr w:rsidR="00DB387B">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47000978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98.88000000000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47000978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0</w:t>
            </w:r>
          </w:p>
        </w:tc>
      </w:tr>
    </w:tbl>
    <w:p w:rsidR="00DB387B" w:rsidRDefault="00ED4C9B">
      <w:pPr>
        <w:pStyle w:val="small-text"/>
        <w:rPr>
          <w:color w:val="000000"/>
        </w:rPr>
      </w:pPr>
      <w:r>
        <w:rPr>
          <w:color w:val="000000"/>
        </w:rPr>
        <w:t>*Для юридичної особи - нерезидента зазначається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w:t>
      </w:r>
      <w:r>
        <w:rPr>
          <w:color w:val="000000"/>
        </w:rPr>
        <w:br/>
        <w:t>**Зазначається "фізична особа", якщо фізична особа не дала згоди на розкриття прізвища, імені, по батькові (за наявності).</w:t>
      </w:r>
    </w:p>
    <w:p w:rsidR="00DB387B" w:rsidRDefault="00DB387B">
      <w:pPr>
        <w:rPr>
          <w:rFonts w:eastAsia="Times New Roman"/>
          <w:color w:val="000000"/>
        </w:rPr>
        <w:sectPr w:rsidR="00DB387B">
          <w:pgSz w:w="16840" w:h="11907" w:orient="landscape"/>
          <w:pgMar w:top="1134" w:right="1134" w:bottom="851" w:left="851" w:header="0" w:footer="0" w:gutter="0"/>
          <w:cols w:space="720"/>
        </w:sectPr>
      </w:pPr>
    </w:p>
    <w:p w:rsidR="00DB387B" w:rsidRDefault="00ED4C9B">
      <w:pPr>
        <w:pStyle w:val="3"/>
        <w:rPr>
          <w:rFonts w:eastAsia="Times New Roman"/>
          <w:color w:val="000000"/>
        </w:rPr>
      </w:pPr>
      <w:r>
        <w:rPr>
          <w:rFonts w:eastAsia="Times New Roman"/>
          <w:color w:val="000000"/>
        </w:rPr>
        <w:lastRenderedPageBreak/>
        <w:t>VII.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395"/>
        <w:gridCol w:w="3516"/>
        <w:gridCol w:w="5278"/>
      </w:tblGrid>
      <w:tr w:rsidR="00DB387B">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позачергові</w:t>
            </w:r>
          </w:p>
        </w:tc>
      </w:tr>
      <w:tr w:rsidR="00DB387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7B" w:rsidRDefault="00DB387B">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25.04.2017</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98.9059</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 вимогу акцiонера, що володiє бiльш, нiж 10% акцiй, було оголошено черговi загальнi збори акцiонерiв ПАТ "Днiстровська ГАЕС" з наступним порядком денним:</w:t>
            </w:r>
            <w:r>
              <w:rPr>
                <w:rFonts w:eastAsia="Times New Roman"/>
                <w:color w:val="000000"/>
                <w:sz w:val="20"/>
                <w:szCs w:val="20"/>
              </w:rPr>
              <w:br/>
              <w:t>Порядок денний:</w:t>
            </w:r>
            <w:r>
              <w:rPr>
                <w:rFonts w:eastAsia="Times New Roman"/>
                <w:color w:val="000000"/>
                <w:sz w:val="20"/>
                <w:szCs w:val="20"/>
              </w:rPr>
              <w:br/>
            </w:r>
            <w:proofErr w:type="gramStart"/>
            <w:r>
              <w:rPr>
                <w:rFonts w:eastAsia="Times New Roman"/>
                <w:color w:val="000000"/>
                <w:sz w:val="20"/>
                <w:szCs w:val="20"/>
              </w:rPr>
              <w:t>1.Припинення</w:t>
            </w:r>
            <w:proofErr w:type="gramEnd"/>
            <w:r>
              <w:rPr>
                <w:rFonts w:eastAsia="Times New Roman"/>
                <w:color w:val="000000"/>
                <w:sz w:val="20"/>
                <w:szCs w:val="20"/>
              </w:rPr>
              <w:t xml:space="preserve"> повноваження членiв Лiчильної комiсiї, обраних загальними зборами Товариства 19.08.2016. Обрання членiв Лiчильної комiсiї загальних зборiв Товариства та прийняття рiшення про припинення їх повноважень.</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першого питання порядку денного прийнято рiшення:</w:t>
            </w:r>
            <w:r>
              <w:rPr>
                <w:rFonts w:eastAsia="Times New Roman"/>
                <w:color w:val="000000"/>
                <w:sz w:val="20"/>
                <w:szCs w:val="20"/>
              </w:rPr>
              <w:br/>
              <w:t>«Припинити повноваження членiв Лiчильної комiсiї, обраних 19.08.2016 Загальними зборами Товариства.</w:t>
            </w:r>
            <w:r>
              <w:rPr>
                <w:rFonts w:eastAsia="Times New Roman"/>
                <w:color w:val="000000"/>
                <w:sz w:val="20"/>
                <w:szCs w:val="20"/>
              </w:rPr>
              <w:br/>
              <w:t xml:space="preserve">Обрати членiв лiчильної комiсiї у складi: </w:t>
            </w:r>
            <w:r>
              <w:rPr>
                <w:rFonts w:eastAsia="Times New Roman"/>
                <w:color w:val="000000"/>
                <w:sz w:val="20"/>
                <w:szCs w:val="20"/>
              </w:rPr>
              <w:br/>
              <w:t>Голова комiсiї – Андреєва Людмила Борисiвна;</w:t>
            </w:r>
            <w:r>
              <w:rPr>
                <w:rFonts w:eastAsia="Times New Roman"/>
                <w:color w:val="000000"/>
                <w:sz w:val="20"/>
                <w:szCs w:val="20"/>
              </w:rPr>
              <w:br/>
              <w:t>Члени комiсiї:</w:t>
            </w:r>
            <w:r>
              <w:rPr>
                <w:rFonts w:eastAsia="Times New Roman"/>
                <w:color w:val="000000"/>
                <w:sz w:val="20"/>
                <w:szCs w:val="20"/>
              </w:rPr>
              <w:br/>
              <w:t>Серебрянська Людмила Володимирiвна;</w:t>
            </w:r>
            <w:r>
              <w:rPr>
                <w:rFonts w:eastAsia="Times New Roman"/>
                <w:color w:val="000000"/>
                <w:sz w:val="20"/>
                <w:szCs w:val="20"/>
              </w:rPr>
              <w:br/>
              <w:t>Музика Мая Iванiвна.</w:t>
            </w:r>
            <w:r>
              <w:rPr>
                <w:rFonts w:eastAsia="Times New Roman"/>
                <w:color w:val="000000"/>
                <w:sz w:val="20"/>
                <w:szCs w:val="20"/>
              </w:rPr>
              <w:br/>
              <w:t>Припинити повноваження Лiчильної комiсiї пiсля виконання всiх обов’язкiв, пов’язаних iз проведенням Загальних зборiв Товариства у повному обсязi».</w:t>
            </w:r>
            <w:r>
              <w:rPr>
                <w:rFonts w:eastAsia="Times New Roman"/>
                <w:color w:val="000000"/>
                <w:sz w:val="20"/>
                <w:szCs w:val="20"/>
              </w:rPr>
              <w:br/>
              <w:t>2.Обрання Голови i Секретаря загальних зборiв Товариства.</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другого питання порядку денного прийнято рiшення:</w:t>
            </w:r>
            <w:r>
              <w:rPr>
                <w:rFonts w:eastAsia="Times New Roman"/>
                <w:color w:val="000000"/>
                <w:sz w:val="20"/>
                <w:szCs w:val="20"/>
              </w:rPr>
              <w:br/>
              <w:t>«1. Обрати Головою Загальних зборiв Товариства Кальнiченко Валентину Анатолiївну.</w:t>
            </w:r>
            <w:r>
              <w:rPr>
                <w:rFonts w:eastAsia="Times New Roman"/>
                <w:color w:val="000000"/>
                <w:sz w:val="20"/>
                <w:szCs w:val="20"/>
              </w:rPr>
              <w:br/>
              <w:t>2.Обрати секретарем Загальних зборiв акцiонерiв Товариства Крiпiневич Зою Миколаївну».</w:t>
            </w:r>
            <w:r>
              <w:rPr>
                <w:rFonts w:eastAsia="Times New Roman"/>
                <w:color w:val="000000"/>
                <w:sz w:val="20"/>
                <w:szCs w:val="20"/>
              </w:rPr>
              <w:br/>
              <w:t>3.Затвердження порядку проведення (регламенту) загальних зборiв Товариства.</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третього питання порядку денного прийняте рiшення:</w:t>
            </w:r>
            <w:r>
              <w:rPr>
                <w:rFonts w:eastAsia="Times New Roman"/>
                <w:color w:val="000000"/>
                <w:sz w:val="20"/>
                <w:szCs w:val="20"/>
              </w:rPr>
              <w:br/>
              <w:t>«Затвердити наступний порядок проведення (регламент) Загальних зборiв Товариства:</w:t>
            </w:r>
            <w:r>
              <w:rPr>
                <w:rFonts w:eastAsia="Times New Roman"/>
                <w:color w:val="000000"/>
                <w:sz w:val="20"/>
                <w:szCs w:val="20"/>
              </w:rPr>
              <w:br/>
              <w:t>Звiти i доповiдi – до 10 хв., обговорення, виступи i вiдповiдi на питання – до 3 хв.</w:t>
            </w:r>
            <w:r>
              <w:rPr>
                <w:rFonts w:eastAsia="Times New Roman"/>
                <w:color w:val="000000"/>
                <w:sz w:val="20"/>
                <w:szCs w:val="20"/>
              </w:rPr>
              <w:br/>
              <w:t>Запитання доповiдачам з питань порядку денного подаються присутнiми у письмовому виглядi до секретаря Загальних зборiв.</w:t>
            </w:r>
            <w:r>
              <w:rPr>
                <w:rFonts w:eastAsia="Times New Roman"/>
                <w:color w:val="000000"/>
                <w:sz w:val="20"/>
                <w:szCs w:val="20"/>
              </w:rPr>
              <w:br/>
              <w:t>Пропозицiї, зауваження, особливi думки та таке iнше, що подаються учасниками Загальних зборiв Товариства секретарю, повиннi мiстити пiдпис та реквiзити особи (прiзвище, iм’я та по батьковi).</w:t>
            </w:r>
            <w:r>
              <w:rPr>
                <w:rFonts w:eastAsia="Times New Roman"/>
                <w:color w:val="000000"/>
                <w:sz w:val="20"/>
                <w:szCs w:val="20"/>
              </w:rPr>
              <w:br/>
              <w:t>Питання, наданi без пiдпису та без зазначення реквiзитiв, не розглядатимуться.</w:t>
            </w:r>
            <w:r>
              <w:rPr>
                <w:rFonts w:eastAsia="Times New Roman"/>
                <w:color w:val="000000"/>
                <w:sz w:val="20"/>
                <w:szCs w:val="20"/>
              </w:rPr>
              <w:br/>
              <w:t>Питання порядку денного ставить на голосування Голова Загальних зборiв.</w:t>
            </w:r>
            <w:r>
              <w:rPr>
                <w:rFonts w:eastAsia="Times New Roman"/>
                <w:color w:val="000000"/>
                <w:sz w:val="20"/>
                <w:szCs w:val="20"/>
              </w:rPr>
              <w:br/>
              <w:t>Змiна черговостi розгляду питань порядку денного здiйснюється Головою Загальних зборiв.</w:t>
            </w:r>
            <w:r>
              <w:rPr>
                <w:rFonts w:eastAsia="Times New Roman"/>
                <w:color w:val="000000"/>
                <w:sz w:val="20"/>
                <w:szCs w:val="20"/>
              </w:rPr>
              <w:br/>
              <w:t>Голосування з питань порядку денного здiйснюється з використанням бюлетенiв для голосування. Бюлетень для голосування (крiм кумулятивного голосування) мiстить варiанти голосування за кожний проект рiшення («За», «Проти», «Утримався»). Пiсля розгляду питання порядку денного та винесення Головою Загальних зборiв Товариства його на голосування, акцiонер вiдмiчає в бюлетенi свiй варiант голосування («За», «Проти», «Утримався»).</w:t>
            </w:r>
            <w:r>
              <w:rPr>
                <w:rFonts w:eastAsia="Times New Roman"/>
                <w:color w:val="000000"/>
                <w:sz w:val="20"/>
                <w:szCs w:val="20"/>
              </w:rPr>
              <w:br/>
              <w:t>Пiд час кумулятивного голосування загальна кiлькiсть голосiв акцiонера помножується на кiлькiсть членiв органу управлiння Товариства, що обираються. Акцiонер має право вiддати пiдрахованi таким чином голоси за одного кандидата або розподiлити їх мiж кiлькох кандидатур. При кумулятивному голосуваннi дiлити голоси за кандидатiв на дрiбнi не дозволяється.</w:t>
            </w:r>
            <w:r>
              <w:rPr>
                <w:rFonts w:eastAsia="Times New Roman"/>
                <w:color w:val="000000"/>
                <w:sz w:val="20"/>
                <w:szCs w:val="20"/>
              </w:rPr>
              <w:br/>
              <w:t>Обраними до складу органу управлiння Товариства вважаються кандидати, що набрали найбiльшу кiлькiсть голосiв акцiонерiв порiвняно з iншими кандидатами.</w:t>
            </w:r>
            <w:r>
              <w:rPr>
                <w:rFonts w:eastAsia="Times New Roman"/>
                <w:color w:val="000000"/>
                <w:sz w:val="20"/>
                <w:szCs w:val="20"/>
              </w:rPr>
              <w:br/>
              <w:t>Члени органу управлiння Товариства вважаються обраними до його складу, а орган управлiння Товариства вважається сформованим виключно при умовi обрання повного кiлькiсного складу органу управлiння Товариства.</w:t>
            </w:r>
            <w:r>
              <w:rPr>
                <w:rFonts w:eastAsia="Times New Roman"/>
                <w:color w:val="000000"/>
                <w:sz w:val="20"/>
                <w:szCs w:val="20"/>
              </w:rPr>
              <w:br/>
              <w:t xml:space="preserve">Пiсля закiнчення голосування з питання порядку денного акцiонер зобов’язаний здати лiчильнiй </w:t>
            </w:r>
            <w:r>
              <w:rPr>
                <w:rFonts w:eastAsia="Times New Roman"/>
                <w:color w:val="000000"/>
                <w:sz w:val="20"/>
                <w:szCs w:val="20"/>
              </w:rPr>
              <w:lastRenderedPageBreak/>
              <w:t>комiсiї бюлетень для голосування.</w:t>
            </w:r>
            <w:r>
              <w:rPr>
                <w:rFonts w:eastAsia="Times New Roman"/>
                <w:color w:val="000000"/>
                <w:sz w:val="20"/>
                <w:szCs w:val="20"/>
              </w:rPr>
              <w:br/>
              <w:t>Лiчильна комiсiя збирає бюлетенi, пiдраховує голоси та об’являє результати голосування.</w:t>
            </w:r>
            <w:r>
              <w:rPr>
                <w:rFonts w:eastAsia="Times New Roman"/>
                <w:color w:val="000000"/>
                <w:sz w:val="20"/>
                <w:szCs w:val="20"/>
              </w:rPr>
              <w:br/>
              <w:t>Бюлетень для голосування визнається недiйсним у разi, якщо:</w:t>
            </w:r>
            <w:r>
              <w:rPr>
                <w:rFonts w:eastAsia="Times New Roman"/>
                <w:color w:val="000000"/>
                <w:sz w:val="20"/>
                <w:szCs w:val="20"/>
              </w:rPr>
              <w:br/>
              <w:t>- вiн вiдрiзняється вiд офiцiйно виготовленого Товариством зразка;</w:t>
            </w:r>
            <w:r>
              <w:rPr>
                <w:rFonts w:eastAsia="Times New Roman"/>
                <w:color w:val="000000"/>
                <w:sz w:val="20"/>
                <w:szCs w:val="20"/>
              </w:rPr>
              <w:br/>
              <w:t>- на ньому вiдсутнiй пiдпис акцiонера (представника акцiонера);</w:t>
            </w:r>
            <w:r>
              <w:rPr>
                <w:rFonts w:eastAsia="Times New Roman"/>
                <w:color w:val="000000"/>
                <w:sz w:val="20"/>
                <w:szCs w:val="20"/>
              </w:rPr>
              <w:br/>
              <w:t>- на ньому вiдмiчено бiльше одного варiанта голосування;</w:t>
            </w:r>
            <w:r>
              <w:rPr>
                <w:rFonts w:eastAsia="Times New Roman"/>
                <w:color w:val="000000"/>
                <w:sz w:val="20"/>
                <w:szCs w:val="20"/>
              </w:rPr>
              <w:br/>
              <w:t>- на ньому не вiдмiчено жодного варiанту голосування;</w:t>
            </w:r>
            <w:r>
              <w:rPr>
                <w:rFonts w:eastAsia="Times New Roman"/>
                <w:color w:val="000000"/>
                <w:sz w:val="20"/>
                <w:szCs w:val="20"/>
              </w:rPr>
              <w:br/>
              <w:t>- якщо кiлькiсть голосiв, якi акцiонер (представник акцiонера) вiддав за кандидата (кандидатiв), перевищує загальну кiлькiсть голосiв, якими вiн володiє пiд час кумулятивного голосування.</w:t>
            </w:r>
            <w:r>
              <w:rPr>
                <w:rFonts w:eastAsia="Times New Roman"/>
                <w:color w:val="000000"/>
                <w:sz w:val="20"/>
                <w:szCs w:val="20"/>
              </w:rPr>
              <w:br/>
              <w:t>Бюлетенi для голосування, визнанi недiйсними, не враховуються пiд час пiдрахунку голосiв.</w:t>
            </w:r>
            <w:r>
              <w:rPr>
                <w:rFonts w:eastAsia="Times New Roman"/>
                <w:color w:val="000000"/>
                <w:sz w:val="20"/>
                <w:szCs w:val="20"/>
              </w:rPr>
              <w:br/>
              <w:t>Бюлетень для голосування засвiдчується пiдписом голови реєстрацiйної комiсiї та печаткою Товариства».</w:t>
            </w:r>
            <w:r>
              <w:rPr>
                <w:rFonts w:eastAsia="Times New Roman"/>
                <w:color w:val="000000"/>
                <w:sz w:val="20"/>
                <w:szCs w:val="20"/>
              </w:rPr>
              <w:br/>
              <w:t>4.Звiт виконавчого органу про результати фiнансово-господарської дiяльностi у 2016 роцi та прийняття рiшення за наслiдками його розгляду.</w:t>
            </w:r>
            <w:r>
              <w:rPr>
                <w:rFonts w:eastAsia="Times New Roman"/>
                <w:color w:val="000000"/>
                <w:sz w:val="20"/>
                <w:szCs w:val="20"/>
              </w:rPr>
              <w:br/>
              <w:t>За результатами голосування з четвертого питання порядку денного прийняте рiшення:</w:t>
            </w:r>
            <w:r>
              <w:rPr>
                <w:rFonts w:eastAsia="Times New Roman"/>
                <w:color w:val="000000"/>
                <w:sz w:val="20"/>
                <w:szCs w:val="20"/>
              </w:rPr>
              <w:br/>
              <w:t xml:space="preserve">«Затвердити звiт Виконавчого органу Товариства про результати фiнансово-господарської дiяльностi за 2016 рiк». </w:t>
            </w:r>
            <w:r>
              <w:rPr>
                <w:rFonts w:eastAsia="Times New Roman"/>
                <w:color w:val="000000"/>
                <w:sz w:val="20"/>
                <w:szCs w:val="20"/>
              </w:rPr>
              <w:br/>
              <w:t>5.Звiт наглядової ради про роботу за 2016 рiк та прийняття рiшення за наслiдками його розгляду.</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п’ятого питання порядку денного прийняте рiшення:</w:t>
            </w:r>
            <w:r>
              <w:rPr>
                <w:rFonts w:eastAsia="Times New Roman"/>
                <w:color w:val="000000"/>
                <w:sz w:val="20"/>
                <w:szCs w:val="20"/>
              </w:rPr>
              <w:br/>
              <w:t>«Затвердити звiт наглядової ради за 2016 рiк».</w:t>
            </w:r>
            <w:r>
              <w:rPr>
                <w:rFonts w:eastAsia="Times New Roman"/>
                <w:color w:val="000000"/>
                <w:sz w:val="20"/>
                <w:szCs w:val="20"/>
              </w:rPr>
              <w:br/>
              <w:t>6.Звiти та висновки ревiзiйної комiсiї Товариства за 2016 рiк, прийняття рiшення за наслiдками їх розгляду та затвердження висновкiв Ревiзiйної комiсiї за 2016 рiк.</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шостого питання порядку денного прийняте рiшення:</w:t>
            </w:r>
            <w:r>
              <w:rPr>
                <w:rFonts w:eastAsia="Times New Roman"/>
                <w:color w:val="000000"/>
                <w:sz w:val="20"/>
                <w:szCs w:val="20"/>
              </w:rPr>
              <w:br/>
              <w:t>«Взяти до вiдома звiт та затвердити висновки Ревiзiйної комiсiї Товариства за 2016 рiк».</w:t>
            </w:r>
            <w:r>
              <w:rPr>
                <w:rFonts w:eastAsia="Times New Roman"/>
                <w:color w:val="000000"/>
                <w:sz w:val="20"/>
                <w:szCs w:val="20"/>
              </w:rPr>
              <w:br/>
              <w:t>7.Затвердження рiчного звiту Товариства за 2016 рiк.</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сьомого питання порядку денного прийняте рiшення:</w:t>
            </w:r>
            <w:r>
              <w:rPr>
                <w:rFonts w:eastAsia="Times New Roman"/>
                <w:color w:val="000000"/>
                <w:sz w:val="20"/>
                <w:szCs w:val="20"/>
              </w:rPr>
              <w:br/>
              <w:t xml:space="preserve">«Затвердити рiчний звiт Товариства за 2016 рiк» </w:t>
            </w:r>
            <w:r>
              <w:rPr>
                <w:rFonts w:eastAsia="Times New Roman"/>
                <w:color w:val="000000"/>
                <w:sz w:val="20"/>
                <w:szCs w:val="20"/>
              </w:rPr>
              <w:br/>
              <w:t>8.Розподiл прибутку Товариства, отриманого за результатами фiнансово-господарської дiяльностi Товариства у 2016 роцi.</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восьмого питання порядку денного прийняте рiшення:</w:t>
            </w:r>
            <w:r>
              <w:rPr>
                <w:rFonts w:eastAsia="Times New Roman"/>
                <w:color w:val="000000"/>
                <w:sz w:val="20"/>
                <w:szCs w:val="20"/>
              </w:rPr>
              <w:br/>
              <w:t>«Затвердити розподiл прибутку Товариства за 2016 рiк:</w:t>
            </w:r>
            <w:r>
              <w:rPr>
                <w:rFonts w:eastAsia="Times New Roman"/>
                <w:color w:val="000000"/>
                <w:sz w:val="20"/>
                <w:szCs w:val="20"/>
              </w:rPr>
              <w:br/>
              <w:t>• до резервного фонду 5 %;</w:t>
            </w:r>
            <w:r>
              <w:rPr>
                <w:rFonts w:eastAsia="Times New Roman"/>
                <w:color w:val="000000"/>
                <w:sz w:val="20"/>
                <w:szCs w:val="20"/>
              </w:rPr>
              <w:br/>
              <w:t>• нарахування в фонд виплати дивiдендiв здiйснити вiдповiдно до вимог законодавчих та нормативних актiв, що дiють на час проведення загальних зборiв;</w:t>
            </w:r>
            <w:r>
              <w:rPr>
                <w:rFonts w:eastAsia="Times New Roman"/>
                <w:color w:val="000000"/>
                <w:sz w:val="20"/>
                <w:szCs w:val="20"/>
              </w:rPr>
              <w:br/>
              <w:t xml:space="preserve">залишок прибутку використовувати вiдповiдно до затверджених фiнансових планiв Товариства». </w:t>
            </w:r>
            <w:r>
              <w:rPr>
                <w:rFonts w:eastAsia="Times New Roman"/>
                <w:color w:val="000000"/>
                <w:sz w:val="20"/>
                <w:szCs w:val="20"/>
              </w:rPr>
              <w:br/>
              <w:t>9.Затвердження розмiру рiчних дивiдендiв за результатами фiнансово-господарської дiяльностi Товариства у 2016 роках з урахуванням вимог, передбачених законодавством.</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дев’ятого питання порядку денного прийняте рiшення:</w:t>
            </w:r>
            <w:r>
              <w:rPr>
                <w:rFonts w:eastAsia="Times New Roman"/>
                <w:color w:val="000000"/>
                <w:sz w:val="20"/>
                <w:szCs w:val="20"/>
              </w:rPr>
              <w:br/>
              <w:t>«1. За результатами фiнансово-господарської дiяльностi Товариства за 2016 рiк спрямувати на виплату дивiдендiв 50% чистого прибутку Товариства, в т.ч. сплатити до Державного бюджету дивiденди на державну частку у розмiрi 801 468,58 грн.</w:t>
            </w:r>
            <w:r>
              <w:rPr>
                <w:rFonts w:eastAsia="Times New Roman"/>
                <w:color w:val="000000"/>
                <w:sz w:val="20"/>
                <w:szCs w:val="20"/>
              </w:rPr>
              <w:br/>
              <w:t>2. Встановити, що виплата дивiдендiв здiйснюється Товариством в порядку, визначеному чинним законодавством».</w:t>
            </w:r>
            <w:r>
              <w:rPr>
                <w:rFonts w:eastAsia="Times New Roman"/>
                <w:color w:val="000000"/>
                <w:sz w:val="20"/>
                <w:szCs w:val="20"/>
              </w:rPr>
              <w:br/>
              <w:t>10.Прийняття рiшення про змiну типу та найменування товариства.</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десятого питання порядку денного прийняте рiшення:</w:t>
            </w:r>
            <w:r>
              <w:rPr>
                <w:rFonts w:eastAsia="Times New Roman"/>
                <w:color w:val="000000"/>
                <w:sz w:val="20"/>
                <w:szCs w:val="20"/>
              </w:rPr>
              <w:br/>
              <w:t xml:space="preserve">«Змiнити тип товариства з публiчного на приватне та найменування товариства з Публiчного акцiонерного товариства «Днiстровська ГАЕС» на Приватне акцiонерне товариство «Днiстровська ГАЕС» (скорочене найменування ПрАТ «Днiстровська ГАЕС»)». </w:t>
            </w:r>
            <w:r>
              <w:rPr>
                <w:rFonts w:eastAsia="Times New Roman"/>
                <w:color w:val="000000"/>
                <w:sz w:val="20"/>
                <w:szCs w:val="20"/>
              </w:rPr>
              <w:br/>
              <w:t>11.Внесення змiн до Статуту Товариства шляхом викладення його в новiй редакцiї.</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r>
            <w:r>
              <w:rPr>
                <w:rFonts w:eastAsia="Times New Roman"/>
                <w:color w:val="000000"/>
                <w:sz w:val="20"/>
                <w:szCs w:val="20"/>
              </w:rPr>
              <w:lastRenderedPageBreak/>
              <w:t>За результатами голосування з одинадцятого питання порядку денного прийняте рiшення:</w:t>
            </w:r>
            <w:r>
              <w:rPr>
                <w:rFonts w:eastAsia="Times New Roman"/>
                <w:color w:val="000000"/>
                <w:sz w:val="20"/>
                <w:szCs w:val="20"/>
              </w:rPr>
              <w:br/>
              <w:t>«Внести змiни до Статуту Товариства шляхом викладення його у новiй редакцiї та затвердити у новiй редакцiї Статут Товариства.</w:t>
            </w:r>
            <w:r>
              <w:rPr>
                <w:rFonts w:eastAsia="Times New Roman"/>
                <w:color w:val="000000"/>
                <w:sz w:val="20"/>
                <w:szCs w:val="20"/>
              </w:rPr>
              <w:br/>
              <w:t>Доручити Генеральному директору пiдписати Статут Товариства у новiй редакцiї.</w:t>
            </w:r>
            <w:r>
              <w:rPr>
                <w:rFonts w:eastAsia="Times New Roman"/>
                <w:color w:val="000000"/>
                <w:sz w:val="20"/>
                <w:szCs w:val="20"/>
              </w:rPr>
              <w:br/>
              <w:t>Генеральному директору Товариства забезпечити надання документiв для проведення державної реєстрацiї нової редакцiї статуту Товариства».</w:t>
            </w:r>
            <w:r>
              <w:rPr>
                <w:rFonts w:eastAsia="Times New Roman"/>
                <w:color w:val="000000"/>
                <w:sz w:val="20"/>
                <w:szCs w:val="20"/>
              </w:rPr>
              <w:br/>
              <w:t>12.Визначення основних напрямiв дiяльностi на 2017 рiк.</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дванадцятого питання порядку денного прийняте рiшення:</w:t>
            </w:r>
            <w:r>
              <w:rPr>
                <w:rFonts w:eastAsia="Times New Roman"/>
                <w:color w:val="000000"/>
                <w:sz w:val="20"/>
                <w:szCs w:val="20"/>
              </w:rPr>
              <w:br/>
              <w:t>«Затвердити основнi напрями дiяльностi Товариства на 2017 рiк».</w:t>
            </w:r>
            <w:r>
              <w:rPr>
                <w:rFonts w:eastAsia="Times New Roman"/>
                <w:color w:val="000000"/>
                <w:sz w:val="20"/>
                <w:szCs w:val="20"/>
              </w:rPr>
              <w:br/>
              <w:t>13.Визначення чiтких цiлей дiяльностi Товариства на 2017 та 2018 роки.</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тринадцятого питання порядку денного прийняте рiшення:</w:t>
            </w:r>
            <w:r>
              <w:rPr>
                <w:rFonts w:eastAsia="Times New Roman"/>
                <w:color w:val="000000"/>
                <w:sz w:val="20"/>
                <w:szCs w:val="20"/>
              </w:rPr>
              <w:br/>
              <w:t>«Визначити чiткими цiлями дiяльностi Товариства на 2017 та 2018 роки - провадження ринкової дiяльностi, в тому числi шляхом безаварiйної експлуатацiї Днiстровської ГАЕС-2, та отримання прибутку для задоволення iнтересiв акцiонерiв у вiдповiдностi до законодавства України».</w:t>
            </w:r>
            <w:r>
              <w:rPr>
                <w:rFonts w:eastAsia="Times New Roman"/>
                <w:color w:val="000000"/>
                <w:sz w:val="20"/>
                <w:szCs w:val="20"/>
              </w:rPr>
              <w:br/>
              <w:t>14.Прийняття рiшення про припинення повноважень голови та членiв наглядової ради Товариства.</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чотирнадцятого питання порядку денного прийняте рiшення:</w:t>
            </w:r>
            <w:r>
              <w:rPr>
                <w:rFonts w:eastAsia="Times New Roman"/>
                <w:color w:val="000000"/>
                <w:sz w:val="20"/>
                <w:szCs w:val="20"/>
              </w:rPr>
              <w:br/>
              <w:t>«Припинити повноваження голови та членiв наглядової ради Товариства».</w:t>
            </w:r>
            <w:r>
              <w:rPr>
                <w:rFonts w:eastAsia="Times New Roman"/>
                <w:color w:val="000000"/>
                <w:sz w:val="20"/>
                <w:szCs w:val="20"/>
              </w:rPr>
              <w:br/>
              <w:t>15.Обрання членiв наглядової ради Товариства.</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п’ятнадцятого питання порядку денного прийняте рiшення:</w:t>
            </w:r>
            <w:r>
              <w:rPr>
                <w:rFonts w:eastAsia="Times New Roman"/>
                <w:color w:val="000000"/>
                <w:sz w:val="20"/>
                <w:szCs w:val="20"/>
              </w:rPr>
              <w:br/>
              <w:t>«Обрати членами наглядової ради Товариства:</w:t>
            </w:r>
            <w:r>
              <w:rPr>
                <w:rFonts w:eastAsia="Times New Roman"/>
                <w:color w:val="000000"/>
                <w:sz w:val="20"/>
                <w:szCs w:val="20"/>
              </w:rPr>
              <w:br/>
              <w:t>1. Кальнiченко Валентину Анатолiївну - представника акцiонера Товариства, юридичної особи ¬– Мiнiстерства енергетики та вугiльної промисловостi України.</w:t>
            </w:r>
            <w:r>
              <w:rPr>
                <w:rFonts w:eastAsia="Times New Roman"/>
                <w:color w:val="000000"/>
                <w:sz w:val="20"/>
                <w:szCs w:val="20"/>
              </w:rPr>
              <w:br/>
              <w:t>2. Дубенко Нiлу Василiвну – представника акцiонера Товариства, юридичної особи ¬– Мiнiстерства енергетики та вугiльної промисловостi України;</w:t>
            </w:r>
            <w:r>
              <w:rPr>
                <w:rFonts w:eastAsia="Times New Roman"/>
                <w:color w:val="000000"/>
                <w:sz w:val="20"/>
                <w:szCs w:val="20"/>
              </w:rPr>
              <w:br/>
              <w:t>3. Крiпiневич Зою Миколаївну – представника акцiонера Товариства, юридичної особи ¬– Мiнiстерства енергетики та вугiльної промисловостi України;</w:t>
            </w:r>
            <w:r>
              <w:rPr>
                <w:rFonts w:eastAsia="Times New Roman"/>
                <w:color w:val="000000"/>
                <w:sz w:val="20"/>
                <w:szCs w:val="20"/>
              </w:rPr>
              <w:br/>
              <w:t>4. Баглай Оксану Олександрiвну – представника акцiонера Товариства, юридичної особи ¬– Мiнiстерства енергетики та вугiльної промисловостi України;</w:t>
            </w:r>
            <w:r>
              <w:rPr>
                <w:rFonts w:eastAsia="Times New Roman"/>
                <w:color w:val="000000"/>
                <w:sz w:val="20"/>
                <w:szCs w:val="20"/>
              </w:rPr>
              <w:br/>
              <w:t>5. Бурунську Юлiю Юрiївну – представника акцiонера Товариства, юридичної особи ¬– ПАТ «Укргiдроенерго».</w:t>
            </w:r>
            <w:r>
              <w:rPr>
                <w:rFonts w:eastAsia="Times New Roman"/>
                <w:color w:val="000000"/>
                <w:sz w:val="20"/>
                <w:szCs w:val="20"/>
              </w:rPr>
              <w:br/>
              <w:t>16.Затвердження умов цивiльно-правових договорiв, трудових договорiв (контрактiв), що укладатимуться з ними, встановлення розмiру їх винагороди, обрання особи, яка уповноважується на пiдписання договорiв (контрактiв) з членами наглядової ради.</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шiстнадцятого питання порядку денного прийняте рiшення:</w:t>
            </w:r>
            <w:r>
              <w:rPr>
                <w:rFonts w:eastAsia="Times New Roman"/>
                <w:color w:val="000000"/>
                <w:sz w:val="20"/>
                <w:szCs w:val="20"/>
              </w:rPr>
              <w:br/>
              <w:t>«Затвердити умови цивiльно-правових договорiв, трудових договорiв (контрактiв), що укладатимуться з членами наглядової ради Товариства.</w:t>
            </w:r>
            <w:r>
              <w:rPr>
                <w:rFonts w:eastAsia="Times New Roman"/>
                <w:color w:val="000000"/>
                <w:sz w:val="20"/>
                <w:szCs w:val="20"/>
              </w:rPr>
              <w:br/>
              <w:t>Доручити Генеральному директору пiдписати договори (контракти) з членами наглядової ради Товариства».</w:t>
            </w:r>
            <w:r>
              <w:rPr>
                <w:rFonts w:eastAsia="Times New Roman"/>
                <w:color w:val="000000"/>
                <w:sz w:val="20"/>
                <w:szCs w:val="20"/>
              </w:rPr>
              <w:br/>
              <w:t>17.Визнання внутрiшнiх положень Товариства такими, що втратили чиннiсть.</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сiмнадцятого питання порядку денного прийняте рiшення:</w:t>
            </w:r>
            <w:r>
              <w:rPr>
                <w:rFonts w:eastAsia="Times New Roman"/>
                <w:color w:val="000000"/>
                <w:sz w:val="20"/>
                <w:szCs w:val="20"/>
              </w:rPr>
              <w:br/>
              <w:t>«У зв’язку з прийняттям нової редакцiї Статуту Товариства вважати такими, що втратили чиннiсть:</w:t>
            </w:r>
            <w:r>
              <w:rPr>
                <w:rFonts w:eastAsia="Times New Roman"/>
                <w:color w:val="000000"/>
                <w:sz w:val="20"/>
                <w:szCs w:val="20"/>
              </w:rPr>
              <w:br/>
              <w:t>1. Положення про загальнi збори акцiонерiв Публiчного акцiонерного товариства «Днiстровська ГАЕС»;</w:t>
            </w:r>
            <w:r>
              <w:rPr>
                <w:rFonts w:eastAsia="Times New Roman"/>
                <w:color w:val="000000"/>
                <w:sz w:val="20"/>
                <w:szCs w:val="20"/>
              </w:rPr>
              <w:br/>
              <w:t>2. Положення про Наглядову раду Публiчного акцiонерного товариства «Днiстровська ГАЕС»;</w:t>
            </w:r>
            <w:r>
              <w:rPr>
                <w:rFonts w:eastAsia="Times New Roman"/>
                <w:color w:val="000000"/>
                <w:sz w:val="20"/>
                <w:szCs w:val="20"/>
              </w:rPr>
              <w:br/>
              <w:t>3. Положення про Ревiзiйну комiсiю Публiчного акцiонерного товариства «Днiстровська ГАЕС»;</w:t>
            </w:r>
            <w:r>
              <w:rPr>
                <w:rFonts w:eastAsia="Times New Roman"/>
                <w:color w:val="000000"/>
                <w:sz w:val="20"/>
                <w:szCs w:val="20"/>
              </w:rPr>
              <w:br/>
              <w:t>4.Положення про Виконавчий орган Публiчного акцiонерного товариства «Днiстровська ГАЕС».</w:t>
            </w:r>
            <w:r>
              <w:rPr>
                <w:rFonts w:eastAsia="Times New Roman"/>
                <w:color w:val="000000"/>
                <w:sz w:val="20"/>
                <w:szCs w:val="20"/>
              </w:rPr>
              <w:br/>
              <w:t>18.Про затвердження Положення про принципи формування наглядової ради Товариства.</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вiсiмнадцятого питання порядку денного прийняте рiшення:</w:t>
            </w:r>
            <w:r>
              <w:rPr>
                <w:rFonts w:eastAsia="Times New Roman"/>
                <w:color w:val="000000"/>
                <w:sz w:val="20"/>
                <w:szCs w:val="20"/>
              </w:rPr>
              <w:br/>
              <w:t xml:space="preserve">«Затвердити положення про принципи формування наглядової ради ПрАТ «Днiстровська ГАЕС». </w:t>
            </w:r>
          </w:p>
        </w:tc>
      </w:tr>
    </w:tbl>
    <w:p w:rsidR="00DB387B" w:rsidRDefault="00ED4C9B">
      <w:pPr>
        <w:pStyle w:val="small-text"/>
        <w:rPr>
          <w:color w:val="000000"/>
        </w:rPr>
      </w:pPr>
      <w:r>
        <w:rPr>
          <w:color w:val="000000"/>
        </w:rPr>
        <w:lastRenderedPageBreak/>
        <w:t>* Поставити помітку "Х" у відповідній графі.</w:t>
      </w:r>
      <w:r>
        <w:rPr>
          <w:color w:val="000000"/>
        </w:rPr>
        <w:br/>
        <w:t>** У відсотках до загальної кількості голосів.</w:t>
      </w:r>
    </w:p>
    <w:tbl>
      <w:tblPr>
        <w:tblW w:w="5000" w:type="pct"/>
        <w:tblCellMar>
          <w:top w:w="15" w:type="dxa"/>
          <w:left w:w="15" w:type="dxa"/>
          <w:bottom w:w="15" w:type="dxa"/>
          <w:right w:w="15" w:type="dxa"/>
        </w:tblCellMar>
        <w:tblLook w:val="04A0" w:firstRow="1" w:lastRow="0" w:firstColumn="1" w:lastColumn="0" w:noHBand="0" w:noVBand="1"/>
      </w:tblPr>
      <w:tblGrid>
        <w:gridCol w:w="1417"/>
        <w:gridCol w:w="3506"/>
        <w:gridCol w:w="5266"/>
      </w:tblGrid>
      <w:tr w:rsidR="00DB387B">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позачергові</w:t>
            </w:r>
          </w:p>
        </w:tc>
      </w:tr>
      <w:tr w:rsidR="00DB387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7B" w:rsidRDefault="00DB387B">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23.08.2017</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98.9142</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spacing w:after="240"/>
              <w:rPr>
                <w:rFonts w:eastAsia="Times New Roman"/>
                <w:color w:val="000000"/>
                <w:sz w:val="20"/>
                <w:szCs w:val="20"/>
              </w:rPr>
            </w:pPr>
            <w:r>
              <w:rPr>
                <w:rFonts w:eastAsia="Times New Roman"/>
                <w:color w:val="000000"/>
                <w:sz w:val="20"/>
                <w:szCs w:val="20"/>
              </w:rPr>
              <w:t>На вимогу акцiонера, що володiє бiльш, нiж 10% акцiй, було оголошено черговi загальнi збори акцiонерiв ПрАТ "Днiстровська ГАЕС" з наступним порядком денним:</w:t>
            </w:r>
            <w:r>
              <w:rPr>
                <w:rFonts w:eastAsia="Times New Roman"/>
                <w:color w:val="000000"/>
                <w:sz w:val="20"/>
                <w:szCs w:val="20"/>
              </w:rPr>
              <w:br/>
              <w:t>Порядок денний :</w:t>
            </w:r>
            <w:r>
              <w:rPr>
                <w:rFonts w:eastAsia="Times New Roman"/>
                <w:color w:val="000000"/>
                <w:sz w:val="20"/>
                <w:szCs w:val="20"/>
              </w:rPr>
              <w:br/>
              <w:t>1. Обрання членiв Лiчильної комiсiї позачергових загальних зборiв Товариства та прийняття рiшення про припинення їх повноважень.</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першого питання порядку денного прийнято рiшення:</w:t>
            </w:r>
            <w:r>
              <w:rPr>
                <w:rFonts w:eastAsia="Times New Roman"/>
                <w:color w:val="000000"/>
                <w:sz w:val="20"/>
                <w:szCs w:val="20"/>
              </w:rPr>
              <w:br/>
              <w:t xml:space="preserve">«Обрати членiв лiчильної комiсiї у складi: </w:t>
            </w:r>
            <w:r>
              <w:rPr>
                <w:rFonts w:eastAsia="Times New Roman"/>
                <w:color w:val="000000"/>
                <w:sz w:val="20"/>
                <w:szCs w:val="20"/>
              </w:rPr>
              <w:br/>
              <w:t>Голова комiсiї – Андреєва Людмила Борисiвна;</w:t>
            </w:r>
            <w:r>
              <w:rPr>
                <w:rFonts w:eastAsia="Times New Roman"/>
                <w:color w:val="000000"/>
                <w:sz w:val="20"/>
                <w:szCs w:val="20"/>
              </w:rPr>
              <w:br/>
              <w:t>Члени комiсiї:</w:t>
            </w:r>
            <w:r>
              <w:rPr>
                <w:rFonts w:eastAsia="Times New Roman"/>
                <w:color w:val="000000"/>
                <w:sz w:val="20"/>
                <w:szCs w:val="20"/>
              </w:rPr>
              <w:br/>
              <w:t>Серебрянська Людмила Володимирiвна;</w:t>
            </w:r>
            <w:r>
              <w:rPr>
                <w:rFonts w:eastAsia="Times New Roman"/>
                <w:color w:val="000000"/>
                <w:sz w:val="20"/>
                <w:szCs w:val="20"/>
              </w:rPr>
              <w:br/>
              <w:t>Музика Мая Iванiвна.</w:t>
            </w:r>
            <w:r>
              <w:rPr>
                <w:rFonts w:eastAsia="Times New Roman"/>
                <w:color w:val="000000"/>
                <w:sz w:val="20"/>
                <w:szCs w:val="20"/>
              </w:rPr>
              <w:br/>
              <w:t>Припинити повноваження Лiчильної комiсiї пiсля виконання всiх обов’язкiв, пов’язаних iз проведенням позачергових загальних зборiв Товариства у повному обсязi».</w:t>
            </w:r>
            <w:r>
              <w:rPr>
                <w:rFonts w:eastAsia="Times New Roman"/>
                <w:color w:val="000000"/>
                <w:sz w:val="20"/>
                <w:szCs w:val="20"/>
              </w:rPr>
              <w:br/>
              <w:t>2. Обрання Голови i Секретаря позачергових загальних зборiв Товариства.</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другого питання порядку денного прийнято рiшення:</w:t>
            </w:r>
            <w:r>
              <w:rPr>
                <w:rFonts w:eastAsia="Times New Roman"/>
                <w:color w:val="000000"/>
                <w:sz w:val="20"/>
                <w:szCs w:val="20"/>
              </w:rPr>
              <w:br/>
              <w:t>«1. Обрати Головою позачергових загальних зборiв Товариства Кальнiченко Валентину Анатолiївну.</w:t>
            </w:r>
            <w:r>
              <w:rPr>
                <w:rFonts w:eastAsia="Times New Roman"/>
                <w:color w:val="000000"/>
                <w:sz w:val="20"/>
                <w:szCs w:val="20"/>
              </w:rPr>
              <w:br/>
              <w:t>2. Обрати секретарем позачергових загальних зборiв акцiонерiв Товариства Крiпiневич Зою Миколаївну».</w:t>
            </w:r>
            <w:r>
              <w:rPr>
                <w:rFonts w:eastAsia="Times New Roman"/>
                <w:color w:val="000000"/>
                <w:sz w:val="20"/>
                <w:szCs w:val="20"/>
              </w:rPr>
              <w:br/>
              <w:t>3.Затвердження порядку проведення (регламенту) позачергових загальних зборiв Товариства.</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третього питання порядку денного прийняте рiшення:</w:t>
            </w:r>
            <w:r>
              <w:rPr>
                <w:rFonts w:eastAsia="Times New Roman"/>
                <w:color w:val="000000"/>
                <w:sz w:val="20"/>
                <w:szCs w:val="20"/>
              </w:rPr>
              <w:br/>
              <w:t>«Затвердити наступний порядок проведення (регламент) позачергових загальних зборiв Товариства:</w:t>
            </w:r>
            <w:r>
              <w:rPr>
                <w:rFonts w:eastAsia="Times New Roman"/>
                <w:color w:val="000000"/>
                <w:sz w:val="20"/>
                <w:szCs w:val="20"/>
              </w:rPr>
              <w:br/>
              <w:t>Звiти i доповiдi – до 10 хв., обговорення, виступи i вiдповiдi на питання – до 3 хв.</w:t>
            </w:r>
            <w:r>
              <w:rPr>
                <w:rFonts w:eastAsia="Times New Roman"/>
                <w:color w:val="000000"/>
                <w:sz w:val="20"/>
                <w:szCs w:val="20"/>
              </w:rPr>
              <w:br/>
              <w:t>Запитання доповiдачам з питань порядку денного подаються присутнiми у письмовому виглядi до секретаря загальних зборiв.Пропозицiї, зауваження, особливi думки та таке iнше, що подаються учасниками позачергових загальних зборiв Товариства секретарю, повиннi мiстити пiдпис та реквiзити особи (прiзвище, iм’я та по батьковi).</w:t>
            </w:r>
            <w:r>
              <w:rPr>
                <w:rFonts w:eastAsia="Times New Roman"/>
                <w:color w:val="000000"/>
                <w:sz w:val="20"/>
                <w:szCs w:val="20"/>
              </w:rPr>
              <w:br/>
              <w:t>Питання, наданi без пiдпису та без зазначення реквiзитiв, не розглядатимуться.</w:t>
            </w:r>
            <w:r>
              <w:rPr>
                <w:rFonts w:eastAsia="Times New Roman"/>
                <w:color w:val="000000"/>
                <w:sz w:val="20"/>
                <w:szCs w:val="20"/>
              </w:rPr>
              <w:br/>
              <w:t>Питання порядку денного ставить на голосування Голова позачергових загальних зборiв.</w:t>
            </w:r>
            <w:r>
              <w:rPr>
                <w:rFonts w:eastAsia="Times New Roman"/>
                <w:color w:val="000000"/>
                <w:sz w:val="20"/>
                <w:szCs w:val="20"/>
              </w:rPr>
              <w:br/>
              <w:t>Змiна черговостi розгляду питань порядку денного здiйснюється Головою позачергових загальних зборiв. Пiсля закiнчення голосування з питання порядку денного акцiонер зобов’язаний здати лiчильнiй комiсiї бюлетень для голосування.</w:t>
            </w:r>
            <w:r>
              <w:rPr>
                <w:rFonts w:eastAsia="Times New Roman"/>
                <w:color w:val="000000"/>
                <w:sz w:val="20"/>
                <w:szCs w:val="20"/>
              </w:rPr>
              <w:br/>
              <w:t>Лiчильна комiсiя збирає бюлетенi, пiдраховує голоси та об’являє результати голосування. Бюлетень для голосування визнається недiйсним у разi, якщо:</w:t>
            </w:r>
            <w:r>
              <w:rPr>
                <w:rFonts w:eastAsia="Times New Roman"/>
                <w:color w:val="000000"/>
                <w:sz w:val="20"/>
                <w:szCs w:val="20"/>
              </w:rPr>
              <w:br/>
              <w:t>- вiн вiдрiзняється вiд офiцiйно виготовленого Товариством зразка;</w:t>
            </w:r>
            <w:r>
              <w:rPr>
                <w:rFonts w:eastAsia="Times New Roman"/>
                <w:color w:val="000000"/>
                <w:sz w:val="20"/>
                <w:szCs w:val="20"/>
              </w:rPr>
              <w:br/>
              <w:t>- на ньому вiдсутнiй пiдпис акцiонера (представника акцiонера);</w:t>
            </w:r>
            <w:r>
              <w:rPr>
                <w:rFonts w:eastAsia="Times New Roman"/>
                <w:color w:val="000000"/>
                <w:sz w:val="20"/>
                <w:szCs w:val="20"/>
              </w:rPr>
              <w:br/>
              <w:t>- на ньому вiдмiчено бiльше одного варiанта голосування;</w:t>
            </w:r>
            <w:r>
              <w:rPr>
                <w:rFonts w:eastAsia="Times New Roman"/>
                <w:color w:val="000000"/>
                <w:sz w:val="20"/>
                <w:szCs w:val="20"/>
              </w:rPr>
              <w:br/>
              <w:t>- на ньому не вiдмiчено жодного варiанту голосування;</w:t>
            </w:r>
            <w:r>
              <w:rPr>
                <w:rFonts w:eastAsia="Times New Roman"/>
                <w:color w:val="000000"/>
                <w:sz w:val="20"/>
                <w:szCs w:val="20"/>
              </w:rPr>
              <w:br/>
              <w:t xml:space="preserve">Бюлетенi для голосування, визнанi недiйсними, не враховуються пiд час пiдрахунку голосiв. </w:t>
            </w:r>
            <w:r>
              <w:rPr>
                <w:rFonts w:eastAsia="Times New Roman"/>
                <w:color w:val="000000"/>
                <w:sz w:val="20"/>
                <w:szCs w:val="20"/>
              </w:rPr>
              <w:br/>
              <w:t xml:space="preserve">Бюлетень для голосування засвiдчується пiдписом голови реєстрацiйної комiсiї та печаткою Товариства». </w:t>
            </w:r>
            <w:r>
              <w:rPr>
                <w:rFonts w:eastAsia="Times New Roman"/>
                <w:color w:val="000000"/>
                <w:sz w:val="20"/>
                <w:szCs w:val="20"/>
              </w:rPr>
              <w:br/>
              <w:t>4.Прийняття рiшення про змiну найменування товариства.</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четвертого питання порядку денного прийняте рiшення:</w:t>
            </w:r>
            <w:r>
              <w:rPr>
                <w:rFonts w:eastAsia="Times New Roman"/>
                <w:color w:val="000000"/>
                <w:sz w:val="20"/>
                <w:szCs w:val="20"/>
              </w:rPr>
              <w:br/>
            </w:r>
            <w:r>
              <w:rPr>
                <w:rFonts w:eastAsia="Times New Roman"/>
                <w:color w:val="000000"/>
                <w:sz w:val="20"/>
                <w:szCs w:val="20"/>
              </w:rPr>
              <w:lastRenderedPageBreak/>
              <w:t>«Змiнити найменування товариства з Приватне акцiонерне товариство «Днiстровська ГАЕС» на Приватне акцiонерне товариство «Нижньоднiстровська ГЕС» (скорочене найменування ПрАТ «Нижньоднiстровська ГЕС»)</w:t>
            </w:r>
            <w:r>
              <w:rPr>
                <w:rFonts w:eastAsia="Times New Roman"/>
                <w:color w:val="000000"/>
                <w:sz w:val="20"/>
                <w:szCs w:val="20"/>
              </w:rPr>
              <w:br/>
              <w:t>5.Внесення змiн до Статуту Товариства шляхом викладення його в новiй редакцiї.</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п’ятого питання порядку денного прийняте рiшення:</w:t>
            </w:r>
            <w:r>
              <w:rPr>
                <w:rFonts w:eastAsia="Times New Roman"/>
                <w:color w:val="000000"/>
                <w:sz w:val="20"/>
                <w:szCs w:val="20"/>
              </w:rPr>
              <w:br/>
              <w:t>«Внести змiни до Статуту Товариства шляхом викладення його у новiй редакцiї та затвердити у новiй редакцiї Статут Товариства.</w:t>
            </w:r>
            <w:r>
              <w:rPr>
                <w:rFonts w:eastAsia="Times New Roman"/>
                <w:color w:val="000000"/>
                <w:sz w:val="20"/>
                <w:szCs w:val="20"/>
              </w:rPr>
              <w:br/>
              <w:t>Доручити Генеральному директору пiдписати Статут Товариства у новiй редакцiї.</w:t>
            </w:r>
            <w:r>
              <w:rPr>
                <w:rFonts w:eastAsia="Times New Roman"/>
                <w:color w:val="000000"/>
                <w:sz w:val="20"/>
                <w:szCs w:val="20"/>
              </w:rPr>
              <w:br/>
              <w:t xml:space="preserve">Генеральному директору Товариства забезпечити надання документiв для проведення державної реєстрацiї нової редакцiї статуту Товариства». </w:t>
            </w:r>
          </w:p>
        </w:tc>
      </w:tr>
    </w:tbl>
    <w:p w:rsidR="00DB387B" w:rsidRDefault="00ED4C9B">
      <w:pPr>
        <w:pStyle w:val="small-text"/>
        <w:rPr>
          <w:color w:val="000000"/>
        </w:rPr>
      </w:pPr>
      <w:r>
        <w:rPr>
          <w:color w:val="000000"/>
        </w:rPr>
        <w:lastRenderedPageBreak/>
        <w:t>* Поставити помітку "Х" у відповідній графі.</w:t>
      </w:r>
      <w:r>
        <w:rPr>
          <w:color w:val="000000"/>
        </w:rPr>
        <w:br/>
        <w:t>** У відсотках до загальної кількості голосів.</w:t>
      </w:r>
    </w:p>
    <w:p w:rsidR="00DB387B" w:rsidRDefault="00DB387B">
      <w:pPr>
        <w:rPr>
          <w:rFonts w:eastAsia="Times New Roman"/>
          <w:color w:val="000000"/>
        </w:rPr>
        <w:sectPr w:rsidR="00DB387B">
          <w:pgSz w:w="11907" w:h="16840"/>
          <w:pgMar w:top="1134" w:right="851" w:bottom="851" w:left="851" w:header="0" w:footer="0" w:gutter="0"/>
          <w:cols w:space="720"/>
        </w:sectPr>
      </w:pPr>
    </w:p>
    <w:p w:rsidR="00DB387B" w:rsidRDefault="00ED4C9B">
      <w:pPr>
        <w:pStyle w:val="3"/>
        <w:rPr>
          <w:rFonts w:eastAsia="Times New Roman"/>
          <w:color w:val="000000"/>
        </w:rPr>
      </w:pPr>
      <w:r>
        <w:rPr>
          <w:rFonts w:eastAsia="Times New Roman"/>
          <w:color w:val="000000"/>
        </w:rPr>
        <w:lastRenderedPageBreak/>
        <w:t>VIII. Інформація про дивіденди</w:t>
      </w:r>
    </w:p>
    <w:tbl>
      <w:tblPr>
        <w:tblW w:w="5000" w:type="pct"/>
        <w:tblCellMar>
          <w:top w:w="15" w:type="dxa"/>
          <w:left w:w="15" w:type="dxa"/>
          <w:bottom w:w="15" w:type="dxa"/>
          <w:right w:w="15" w:type="dxa"/>
        </w:tblCellMar>
        <w:tblLook w:val="04A0" w:firstRow="1" w:lastRow="0" w:firstColumn="1" w:lastColumn="0" w:noHBand="0" w:noVBand="1"/>
      </w:tblPr>
      <w:tblGrid>
        <w:gridCol w:w="2517"/>
        <w:gridCol w:w="2152"/>
        <w:gridCol w:w="1684"/>
        <w:gridCol w:w="2152"/>
        <w:gridCol w:w="1684"/>
      </w:tblGrid>
      <w:tr w:rsidR="00DB387B">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За результатами звітнього періоду</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У звітному періоді</w:t>
            </w:r>
          </w:p>
        </w:tc>
      </w:tr>
      <w:tr w:rsidR="00DB387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7B" w:rsidRDefault="00DB387B">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за привілейованими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за привілейованими акціями</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Сума нарахованих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917000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716686.6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Нарахувані дивіденди на одну акцію,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0.01929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Сума виплачених/перерахованих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906737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716686.6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Дата складання переліку осіб, які мають право на отримання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26.05.2017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25.08.2016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Дата (дати) перерахування дивідендів через депозитарну систему із зазначенням сум (грн) перерахованих дивідендів на відповідну дату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22.06.2017/801468.58грн</w:t>
            </w:r>
            <w:r>
              <w:rPr>
                <w:rFonts w:eastAsia="Times New Roman"/>
                <w:color w:val="000000"/>
                <w:sz w:val="20"/>
                <w:szCs w:val="20"/>
              </w:rPr>
              <w:br/>
              <w:t>26.07.2017/105268.82грн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03.11.2016/7688.76грн</w:t>
            </w:r>
            <w:r>
              <w:rPr>
                <w:rFonts w:eastAsia="Times New Roman"/>
                <w:color w:val="000000"/>
                <w:sz w:val="20"/>
                <w:szCs w:val="20"/>
              </w:rPr>
              <w:br/>
              <w:t>02.11.2016/82273.46грн</w:t>
            </w:r>
            <w:r>
              <w:rPr>
                <w:rFonts w:eastAsia="Times New Roman"/>
                <w:color w:val="000000"/>
                <w:sz w:val="20"/>
                <w:szCs w:val="20"/>
              </w:rPr>
              <w:br/>
              <w:t>09.06.2016/626392.25грн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Рiчними загальними зборами акцiонерiв 25 квiтня 2017 року прийнято рiшення про виплату дивiдендiв:</w:t>
            </w:r>
            <w:r>
              <w:rPr>
                <w:rFonts w:eastAsia="Times New Roman"/>
                <w:color w:val="000000"/>
                <w:sz w:val="20"/>
                <w:szCs w:val="20"/>
              </w:rPr>
              <w:br/>
              <w:t>1. «За результатами фiнансово-господарської дiяльностi Товариства за 2016 рiк спрямувати на виплату дивiдендiв 50% чистого прибутку Товариства, в т.ч. сплатити до Державного бюджету дивiденди на державну частку у розмiрi 801 468,58 грн.»</w:t>
            </w:r>
            <w:r>
              <w:rPr>
                <w:rFonts w:eastAsia="Times New Roman"/>
                <w:color w:val="000000"/>
                <w:sz w:val="20"/>
                <w:szCs w:val="20"/>
              </w:rPr>
              <w:br/>
              <w:t>Наглядовою радою Товариства ( протокол вiд 11.05.2017 р. №1) прийнято наступнi рiшення:</w:t>
            </w:r>
            <w:r>
              <w:rPr>
                <w:rFonts w:eastAsia="Times New Roman"/>
                <w:color w:val="000000"/>
                <w:sz w:val="20"/>
                <w:szCs w:val="20"/>
              </w:rPr>
              <w:br/>
              <w:t xml:space="preserve">«визначити датою складення перелiку осiб, якi мають право на отримання дивiдендiв за результатами фiнансово-господарської дiяльностi ПАТ «Днiстровська ГАЕС» за 2016 рiк – 26 травня 2017 року; </w:t>
            </w:r>
            <w:r>
              <w:rPr>
                <w:rFonts w:eastAsia="Times New Roman"/>
                <w:color w:val="000000"/>
                <w:sz w:val="20"/>
                <w:szCs w:val="20"/>
              </w:rPr>
              <w:br/>
              <w:t>- нарахування на виплату дивiдендiв здiйснити у розмiрах, прийнятих рiшенням рiчних загальних зборiв акцiонерiв товариства вiд 25.04.2017 протокол № 1. При цьому сума рiчних дивiдендiв становить: за 2016 рiк за простими акцiями у розмiрi 917000 грн., (розмiр рiчних дивiдендiв на одну просту iменну акцiю складає 0,01929188 грн),</w:t>
            </w:r>
            <w:r>
              <w:rPr>
                <w:rFonts w:eastAsia="Times New Roman"/>
                <w:color w:val="000000"/>
                <w:sz w:val="20"/>
                <w:szCs w:val="20"/>
              </w:rPr>
              <w:br/>
              <w:t>- встановити строки виплати дивiдендiв з 20 червня 2017 року по 20 вересня 2017 року,на державну частку – до 1 липня 2017 року,</w:t>
            </w:r>
            <w:r>
              <w:rPr>
                <w:rFonts w:eastAsia="Times New Roman"/>
                <w:color w:val="000000"/>
                <w:sz w:val="20"/>
                <w:szCs w:val="20"/>
              </w:rPr>
              <w:br/>
              <w:t xml:space="preserve">- виплату дивiдендiв здiйснювати у такому порядку: за письмовою заявою вiд акцiонера шляхом перерахування дивiдендiв на розрахунковий рахунок вказаний в заявi або поштовим переказом за адресою, яку акцiонер вказує у заявi, або у касi Товариства. </w:t>
            </w:r>
            <w:r>
              <w:rPr>
                <w:rFonts w:eastAsia="Times New Roman"/>
                <w:color w:val="000000"/>
                <w:sz w:val="20"/>
                <w:szCs w:val="20"/>
              </w:rPr>
              <w:br/>
              <w:t>Виконавчому органу до початку строку виплати дивiдендiв визначити детальний порядок виплати дивiдендiв та довести його до вiдома акцiонерiв шляхом розмiщення iнформацiї на офiцiйному сайтi Товариства не пiзнiше нiж за 3 робочих днi до дати початку виплати дивiдендiв акцiонерам».</w:t>
            </w:r>
          </w:p>
        </w:tc>
      </w:tr>
    </w:tbl>
    <w:p w:rsidR="00DB387B" w:rsidRDefault="00DB387B">
      <w:pPr>
        <w:rPr>
          <w:rFonts w:eastAsia="Times New Roman"/>
          <w:color w:val="000000"/>
        </w:rPr>
        <w:sectPr w:rsidR="00DB387B">
          <w:pgSz w:w="11907" w:h="16840"/>
          <w:pgMar w:top="1134" w:right="851" w:bottom="851" w:left="851" w:header="0" w:footer="0" w:gutter="0"/>
          <w:cols w:space="720"/>
        </w:sectPr>
      </w:pPr>
    </w:p>
    <w:p w:rsidR="00DB387B" w:rsidRDefault="00ED4C9B">
      <w:pPr>
        <w:pStyle w:val="3"/>
        <w:rPr>
          <w:rFonts w:eastAsia="Times New Roman"/>
          <w:color w:val="000000"/>
        </w:rPr>
      </w:pPr>
      <w:r>
        <w:rPr>
          <w:rFonts w:eastAsia="Times New Roman"/>
          <w:color w:val="000000"/>
        </w:rPr>
        <w:lastRenderedPageBreak/>
        <w:t>IX.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ТОВ "УПР-Фiнанс"</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36980202</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03035 Україна Київська Київська м. Київ вул. Червоноармiйська, 5, оф. 202</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АВ № 520607</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Державна комiсiя з цiнниїх паперiв та фондового ринку</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15.04.2010</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(044) 362-79-73</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(044) 362-79-73</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Депозитарна дiяльнiсть зберiгача цiнних паперiв.</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Договiр № 100 вiд 12.03.2012 року (додаткова угода вiд 08.08.2017 року) Послуги щодо вiдкриття та ведення рахункiв у цiнних паперах, зарахування на них iменних цiнних паперiв випуску простих iменних акцiй ПрАТ "Нижньоднiстровська ГЕС".</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ПАТ "Нацiональний депозитарiй України"</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Публічне акціонерне товариство</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30370711</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1001 Україна Київська Київський м. Київ вул. Б. Грiнченка, 3</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581322</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19.09.2006</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(044) 279-13-25</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(044 279-13-22)</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Депозитарна дiяльнiсть</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Укладено договiр вiд 27.03.2012 року № Е-4604 щодо вiдкриття та ведення рахунку в цiнних паперах емiтента, обслуговування операцiй емiтента щодо розмiщення цiнних паперiв бездокументарної форми iснування, обслуговування операцiй з цiнними паперами емiтента.</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Товариство з обмеженою вiдповiдальнiстю "Мiжнародна аудиторська група"</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23510442</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03037 Україна Київська Київський м. Київ вул. Червонопартизанська, буд. 14-В, кв. 35</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lastRenderedPageBreak/>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2170</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Аудиторська палата України</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26.01.2001</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(044) 284-10-90 (91-92)</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(044) 284-10-90 (91-92)</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Аудиторська дiяльнiсть</w:t>
            </w:r>
          </w:p>
        </w:tc>
      </w:tr>
      <w:tr w:rsidR="00DB387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Укладено договiр вiд 16 лютого 2017 року № 04/А щодо проведення аудиту фiнансової звiтностi ПАТ "Днiстровська ГАЕС" за 2016 рiк.</w:t>
            </w:r>
          </w:p>
        </w:tc>
      </w:tr>
    </w:tbl>
    <w:p w:rsidR="00DB387B" w:rsidRDefault="00DB387B">
      <w:pPr>
        <w:rPr>
          <w:rFonts w:eastAsia="Times New Roman"/>
          <w:color w:val="000000"/>
        </w:rPr>
      </w:pPr>
    </w:p>
    <w:p w:rsidR="00DB387B" w:rsidRDefault="00DB387B">
      <w:pPr>
        <w:rPr>
          <w:rFonts w:eastAsia="Times New Roman"/>
          <w:color w:val="000000"/>
        </w:rPr>
        <w:sectPr w:rsidR="00DB387B">
          <w:pgSz w:w="11907" w:h="16840"/>
          <w:pgMar w:top="1134" w:right="851" w:bottom="851" w:left="851" w:header="0" w:footer="0" w:gutter="0"/>
          <w:cols w:space="720"/>
        </w:sectPr>
      </w:pPr>
    </w:p>
    <w:p w:rsidR="00DB387B" w:rsidRDefault="00ED4C9B">
      <w:pPr>
        <w:pStyle w:val="3"/>
        <w:rPr>
          <w:rFonts w:eastAsia="Times New Roman"/>
          <w:color w:val="000000"/>
        </w:rPr>
      </w:pPr>
      <w:r>
        <w:rPr>
          <w:rFonts w:eastAsia="Times New Roman"/>
          <w:color w:val="000000"/>
        </w:rPr>
        <w:lastRenderedPageBreak/>
        <w:t>X. Відомості про цінні папери емітента</w:t>
      </w:r>
    </w:p>
    <w:p w:rsidR="00DB387B" w:rsidRDefault="00ED4C9B">
      <w:pPr>
        <w:pStyle w:val="4"/>
        <w:rPr>
          <w:rFonts w:eastAsia="Times New Roman"/>
          <w:color w:val="000000"/>
        </w:rPr>
      </w:pPr>
      <w:r>
        <w:rPr>
          <w:rFonts w:eastAsia="Times New Roman"/>
          <w:color w:val="000000"/>
        </w:rPr>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101"/>
        <w:gridCol w:w="1275"/>
        <w:gridCol w:w="1635"/>
        <w:gridCol w:w="1838"/>
        <w:gridCol w:w="1678"/>
        <w:gridCol w:w="1659"/>
        <w:gridCol w:w="1315"/>
        <w:gridCol w:w="1068"/>
        <w:gridCol w:w="1476"/>
        <w:gridCol w:w="1794"/>
      </w:tblGrid>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09.06.1999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213/1/99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UA4000149777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47532941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475329410.000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100.000000000000</w:t>
            </w:r>
          </w:p>
        </w:tc>
      </w:tr>
      <w:tr w:rsidR="00DB387B">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Торгiвля цiнними паперами на внутрiшнiх та зовнiшнiх ринках не здiйснювалася. Фактiв лiстингу/делiстингу цiнних паперiв емiтента на фондових бiржах не було.</w:t>
            </w:r>
            <w:r>
              <w:rPr>
                <w:rFonts w:eastAsia="Times New Roman"/>
                <w:color w:val="000000"/>
                <w:sz w:val="20"/>
                <w:szCs w:val="20"/>
              </w:rPr>
              <w:br/>
              <w:t>ПАТ "Фондова бiржа ПФТС" 28.01.2013 р. прийнято рiшення щодо ПАТ "Днiстровська ГАЕС" про допуск цiнних паперiв до торгiв на ПФТС без їх внесення до бiржового реєстру. Рiшення набуло чинностi 29.01.2013 р.</w:t>
            </w:r>
          </w:p>
        </w:tc>
      </w:tr>
      <w:tr w:rsidR="00DB387B">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 </w:t>
            </w:r>
          </w:p>
        </w:tc>
      </w:tr>
    </w:tbl>
    <w:p w:rsidR="00DB387B" w:rsidRDefault="00DB387B">
      <w:pPr>
        <w:rPr>
          <w:rFonts w:eastAsia="Times New Roman"/>
          <w:color w:val="000000"/>
        </w:rPr>
        <w:sectPr w:rsidR="00DB387B">
          <w:pgSz w:w="16840" w:h="11907" w:orient="landscape"/>
          <w:pgMar w:top="1134" w:right="1134" w:bottom="851" w:left="851" w:header="0" w:footer="0" w:gutter="0"/>
          <w:cols w:space="720"/>
        </w:sectPr>
      </w:pPr>
    </w:p>
    <w:p w:rsidR="00DB387B" w:rsidRDefault="00ED4C9B">
      <w:pPr>
        <w:pStyle w:val="3"/>
        <w:rPr>
          <w:rFonts w:eastAsia="Times New Roman"/>
          <w:color w:val="000000"/>
        </w:rPr>
      </w:pPr>
      <w:r>
        <w:rPr>
          <w:rFonts w:eastAsia="Times New Roman"/>
          <w:color w:val="000000"/>
        </w:rPr>
        <w:lastRenderedPageBreak/>
        <w:t>XI. Опис бізнесу</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За результатами проведення чергових загальних зборiв акцiонерiв 25 квiтня 2017 року було змiнено склад Наглядової ради та Ревiзiйної комiсiї ПАТ "Днiстровська ГАЕС", прийняте рiшення про виплату дидiдендiв за результатами фiнансово-господарської дiяльностi Товариства за 2016 рiк та рiшення про змiну типу товариства з публiчного акцiонерного на приватне акцiонерне товариство.</w:t>
            </w:r>
            <w:r>
              <w:rPr>
                <w:rFonts w:eastAsia="Times New Roman"/>
                <w:color w:val="000000"/>
              </w:rPr>
              <w:br/>
              <w:t>За результатами проведення позачергових загальних зборiв акцiонерiв 23 серпня 2017 року було прийнято рiшення про змiну найменування товариства з ПрАТ "Днiстровська ГАЕС" на ПрАТ "Нижньоднiстровська ГЕС".</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На пiдприємствi затверджена наступна органiзацiйна структура:</w:t>
            </w:r>
            <w:r>
              <w:rPr>
                <w:rFonts w:eastAsia="Times New Roman"/>
                <w:color w:val="000000"/>
              </w:rPr>
              <w:br/>
              <w:t xml:space="preserve">1. Днiстровська ГЕС-2 </w:t>
            </w:r>
            <w:r>
              <w:rPr>
                <w:rFonts w:eastAsia="Times New Roman"/>
                <w:color w:val="000000"/>
              </w:rPr>
              <w:br/>
              <w:t>1.1 Директор ГЕС-2;</w:t>
            </w:r>
            <w:r>
              <w:rPr>
                <w:rFonts w:eastAsia="Times New Roman"/>
                <w:color w:val="000000"/>
              </w:rPr>
              <w:br/>
              <w:t>1.2 Заступник директора ГЕС-2;</w:t>
            </w:r>
            <w:r>
              <w:rPr>
                <w:rFonts w:eastAsia="Times New Roman"/>
                <w:color w:val="000000"/>
              </w:rPr>
              <w:br/>
              <w:t>1.3 Старший майстер з ремонту устаткування;</w:t>
            </w:r>
            <w:r>
              <w:rPr>
                <w:rFonts w:eastAsia="Times New Roman"/>
                <w:color w:val="000000"/>
              </w:rPr>
              <w:br/>
              <w:t>1.4 Група оперативного персоналу;</w:t>
            </w:r>
            <w:r>
              <w:rPr>
                <w:rFonts w:eastAsia="Times New Roman"/>
                <w:color w:val="000000"/>
              </w:rPr>
              <w:br/>
              <w:t>1.5 Група релейного захисту й автоматики;</w:t>
            </w:r>
            <w:r>
              <w:rPr>
                <w:rFonts w:eastAsia="Times New Roman"/>
                <w:color w:val="000000"/>
              </w:rPr>
              <w:br/>
              <w:t>1.6 Дiльниця з експлуатацiї i ремонту механiчного устаткування;</w:t>
            </w:r>
            <w:r>
              <w:rPr>
                <w:rFonts w:eastAsia="Times New Roman"/>
                <w:color w:val="000000"/>
              </w:rPr>
              <w:br/>
              <w:t>1.7 Дiльниця з експлуатацiї i ремонту електроустаткування;</w:t>
            </w:r>
            <w:r>
              <w:rPr>
                <w:rFonts w:eastAsia="Times New Roman"/>
                <w:color w:val="000000"/>
              </w:rPr>
              <w:br/>
              <w:t>1.8 Дiльниця з експлуатацiї гiдроспоруд;</w:t>
            </w:r>
            <w:r>
              <w:rPr>
                <w:rFonts w:eastAsia="Times New Roman"/>
                <w:color w:val="000000"/>
              </w:rPr>
              <w:br/>
              <w:t xml:space="preserve">2. Головний iнженер; </w:t>
            </w:r>
            <w:r>
              <w:rPr>
                <w:rFonts w:eastAsia="Times New Roman"/>
                <w:color w:val="000000"/>
              </w:rPr>
              <w:br/>
              <w:t>3. Заступник генерального директора;</w:t>
            </w:r>
            <w:r>
              <w:rPr>
                <w:rFonts w:eastAsia="Times New Roman"/>
                <w:color w:val="000000"/>
              </w:rPr>
              <w:br/>
              <w:t>4. Виробничо-технiчний вiддiл;</w:t>
            </w:r>
            <w:r>
              <w:rPr>
                <w:rFonts w:eastAsia="Times New Roman"/>
                <w:color w:val="000000"/>
              </w:rPr>
              <w:br/>
              <w:t>5. Бухгалтерiя;</w:t>
            </w:r>
            <w:r>
              <w:rPr>
                <w:rFonts w:eastAsia="Times New Roman"/>
                <w:color w:val="000000"/>
              </w:rPr>
              <w:br/>
              <w:t>6. Економiчний вiддiл;</w:t>
            </w:r>
            <w:r>
              <w:rPr>
                <w:rFonts w:eastAsia="Times New Roman"/>
                <w:color w:val="000000"/>
              </w:rPr>
              <w:br/>
              <w:t>7. Юридичний вiддiл;</w:t>
            </w:r>
            <w:r>
              <w:rPr>
                <w:rFonts w:eastAsia="Times New Roman"/>
                <w:color w:val="000000"/>
              </w:rPr>
              <w:br/>
              <w:t>8. Вiддiл кадрiв;</w:t>
            </w:r>
            <w:r>
              <w:rPr>
                <w:rFonts w:eastAsia="Times New Roman"/>
                <w:color w:val="000000"/>
              </w:rPr>
              <w:br/>
              <w:t>9. Вiддiл охорони працi;</w:t>
            </w:r>
            <w:r>
              <w:rPr>
                <w:rFonts w:eastAsia="Times New Roman"/>
                <w:color w:val="000000"/>
              </w:rPr>
              <w:br/>
              <w:t>10. Матерiально-технiчна база;</w:t>
            </w:r>
            <w:r>
              <w:rPr>
                <w:rFonts w:eastAsia="Times New Roman"/>
                <w:color w:val="000000"/>
              </w:rPr>
              <w:br/>
              <w:t>11. Транспортна дiльниця;</w:t>
            </w:r>
            <w:r>
              <w:rPr>
                <w:rFonts w:eastAsia="Times New Roman"/>
                <w:color w:val="000000"/>
              </w:rPr>
              <w:br/>
              <w:t>12. Канцелярiя;</w:t>
            </w:r>
            <w:r>
              <w:rPr>
                <w:rFonts w:eastAsia="Times New Roman"/>
                <w:color w:val="000000"/>
              </w:rPr>
              <w:br/>
              <w:t>13. Вiддiл охорони.</w:t>
            </w:r>
            <w:r>
              <w:rPr>
                <w:rFonts w:eastAsia="Times New Roman"/>
                <w:color w:val="000000"/>
              </w:rPr>
              <w:br/>
              <w:t>Рiшенням загальних зборiв акцiонерiв вiд 25 сiчня 2012 року всi вищезгаданi структурнi пiдроздiли керуються рiшеннями виконавчого органу в особi Генерального директора.</w:t>
            </w:r>
            <w:r>
              <w:rPr>
                <w:rFonts w:eastAsia="Times New Roman"/>
                <w:color w:val="000000"/>
              </w:rPr>
              <w:br/>
              <w:t>Дочiрнiх пiдприємств, фiлiй та представництв Товариство не має.</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 xml:space="preserve">Середньооблiкова чисельнiсть штатних працiвникiв облiкового складу за 2017 рiк склала 134 особи, з них 1 особа, яка працює в умовах неповного робочого дня. Фонд оплати працi штатних працiвникiв у 2017 роцi склав 15 809 тис. грн. i зрiс, порiвняно iз 2015 роком на 23,1% у зв'язку iз збiльшенням розмiру окладiв у вiдповiдностi до змiн у Галузевiй угодi. Середньоблiкова чисельнiсть працiвникiв в еквiвалентi повної зайнятостi - 144 осiб. </w:t>
            </w:r>
            <w:r>
              <w:rPr>
                <w:rFonts w:eastAsia="Times New Roman"/>
                <w:color w:val="000000"/>
              </w:rPr>
              <w:br/>
              <w:t>Адмiнiстрацiя ПрАТ «Нижньоднiстровська ГЕС» проводить постiйну роботу по забезпеченню повної i якiсної комплектацiї товариства персоналом. Органiзацiю по роботi з кадрами в товариствi та у структурних пiдроздiлах здiйснює вiддiл кадрiв. Кадрова робота проводиться вiдкрито i спрямовується на всебiчне вивчення та врахування можливостей працiвникiв, найбiльш повне застосування їх здiбностей, створення атмосфери заiнтересованостi у професiйному зростаннi.</w:t>
            </w:r>
            <w:r>
              <w:rPr>
                <w:rFonts w:eastAsia="Times New Roman"/>
                <w:color w:val="000000"/>
              </w:rPr>
              <w:br/>
              <w:t>Рiвень плинностi кадрiв вiдповiдає природному рiвню. Вiн сприяє своєчасному оновленню колективу, забезпечує приток свiжих сил та iдей. До природної причини плинностi кадрiв вiдноситься вiк людини i вихiд на заслужений вiдпочинок.</w:t>
            </w:r>
            <w:r>
              <w:rPr>
                <w:rFonts w:eastAsia="Times New Roman"/>
                <w:color w:val="000000"/>
              </w:rPr>
              <w:br/>
            </w:r>
            <w:r>
              <w:rPr>
                <w:rFonts w:eastAsia="Times New Roman"/>
                <w:color w:val="000000"/>
              </w:rPr>
              <w:lastRenderedPageBreak/>
              <w:t xml:space="preserve">З розвитком виробництва, прискоренням науково-технiчного прогресу змiнюються вимоги до кадрiв. В товариствi пiдвищуються вимоги до загальноосвiтньої, економiчної, технiчної, технологiчної пiдготовки робiтникiв та службовцiв, до рiвня їхньої квалiфiкацiї. Виникають питання рацiонального використання трудових ресурсiв, оцiнки дiяльностi кадрiв. </w:t>
            </w:r>
            <w:r>
              <w:rPr>
                <w:rFonts w:eastAsia="Times New Roman"/>
                <w:color w:val="000000"/>
              </w:rPr>
              <w:br/>
              <w:t>У звiтному перiодi склад керiвництва товариства та його структурних одиниць не змiнювався.</w:t>
            </w:r>
            <w:r>
              <w:rPr>
                <w:rFonts w:eastAsia="Times New Roman"/>
                <w:color w:val="000000"/>
              </w:rPr>
              <w:br/>
              <w:t xml:space="preserve">У груднi 2017 року переглянуто склад кадрового резерву товариства на 2018 рiк на посади керiвникiв та спецiалiстiв. </w:t>
            </w:r>
            <w:proofErr w:type="gramStart"/>
            <w:r>
              <w:rPr>
                <w:rFonts w:eastAsia="Times New Roman"/>
                <w:color w:val="000000"/>
              </w:rPr>
              <w:t>До складу</w:t>
            </w:r>
            <w:proofErr w:type="gramEnd"/>
            <w:r>
              <w:rPr>
                <w:rFonts w:eastAsia="Times New Roman"/>
                <w:color w:val="000000"/>
              </w:rPr>
              <w:t xml:space="preserve"> кадрового резерву зараховано 7 осiб. У тому числi структурних одиниць 4 особи.</w:t>
            </w:r>
            <w:r>
              <w:rPr>
                <w:rFonts w:eastAsia="Times New Roman"/>
                <w:color w:val="000000"/>
              </w:rPr>
              <w:br/>
              <w:t xml:space="preserve">Свою виробничу дiяльнiсть товариство проводить з суворим </w:t>
            </w:r>
            <w:proofErr w:type="gramStart"/>
            <w:r>
              <w:rPr>
                <w:rFonts w:eastAsia="Times New Roman"/>
                <w:color w:val="000000"/>
              </w:rPr>
              <w:t>дотриманням Правил</w:t>
            </w:r>
            <w:proofErr w:type="gramEnd"/>
            <w:r>
              <w:rPr>
                <w:rFonts w:eastAsia="Times New Roman"/>
                <w:color w:val="000000"/>
              </w:rPr>
              <w:t xml:space="preserve"> внутрiшнього трудового договору, виконанням соцiально-побутових гарантiй, передбачених Колективним договором. Своєчасно виплачується заробiтна плата, щомiсячно надається матерiальна допомога непрацюючим пенсiонерам, виконується програма розвитку та оздоровлення.</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lastRenderedPageBreak/>
              <w:t> </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ПрАТ "Нижньоднiстровська ГЕС" не належить до жодних об'єднань пiдприємств.</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ПрАТ "Нижньоднiстровська ГЕС"" не проводить спiльної дiяльностi з iншими органiзацiями, пiдприємствами та установами.</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У 2017 роцi до ПрАТ "Нижньоднiстровська ГЕС" не надходило пропозицiй щодо реорганiзацiї.</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Товариство у 2017 роцi вело бухгалтерський облiк за допомогою бухгалтерської комп'ютерної програми "1:С- Пiдприємство" з використанням плану рахункiв бухгалтерського облiку активiв, капiталу, зобов'язань i господарських операцiй пiдприємств i органiзацiй.</w:t>
            </w:r>
            <w:r>
              <w:rPr>
                <w:rFonts w:eastAsia="Times New Roman"/>
                <w:color w:val="000000"/>
              </w:rPr>
              <w:br/>
              <w:t>ОСНОВИ НАДАННЯ IНФОРМАЦIЇ</w:t>
            </w:r>
            <w:r>
              <w:rPr>
                <w:rFonts w:eastAsia="Times New Roman"/>
                <w:color w:val="000000"/>
              </w:rPr>
              <w:br/>
              <w:t>Основи надання та подання iнформацiї – Фiнансова звiтнiсть Товариства була пiдготовлена вiдповiдно до Закону України “ Про бухгалтерський облiк та фiнансову звiтнiсть в Українi”, нормативним актам, якi регламентують ведення бухгалтерського облiку в Українi та чинних мiжнародних стандартiв фiнансової звiтностi (МСФЗ), мiжнароднi стандарти бухгалтерського облiку (МСБО) та тлумачень, розроблених Комiтетом з тлумачень мiжнародної фiнансової звiтностi.</w:t>
            </w:r>
            <w:r>
              <w:rPr>
                <w:rFonts w:eastAsia="Times New Roman"/>
                <w:color w:val="000000"/>
              </w:rPr>
              <w:br/>
              <w:t>Фiнансова звiтнiсть за мiжнародними стандартами фiнансової звiтностi складається на основi бухгалтерських записiв згiдно з українським законодавством шляхом трансформацiї з внесенням коригувань та проведенням перекласифiкацiї статей з метою достовiрного представлення iнформацiї згiдно з вимогами МСФЗ.</w:t>
            </w:r>
            <w:r>
              <w:rPr>
                <w:rFonts w:eastAsia="Times New Roman"/>
                <w:color w:val="000000"/>
              </w:rPr>
              <w:br/>
              <w:t>Фiнансова звiтнiсть надана у тисячах українських гривень, якщо не вказано iнше.</w:t>
            </w:r>
            <w:r>
              <w:rPr>
                <w:rFonts w:eastAsia="Times New Roman"/>
                <w:color w:val="000000"/>
              </w:rPr>
              <w:br/>
              <w:t>Товариство перейшло на Мiжнароднi стандарти фiнансової звiтностi 01 сiчня 2012 року вiдповiдно до (МСФЗ) 1 «Перше застосування Мiжнародних стандартiв фiнансової звiтностi». Керуючись (МСФЗ) 1, Товариство обрало першим звiтним перiодом рiк, що закiнчується 31 грудня 2013 року. Iз цiєї дати фiнансова звiтнiсть Товариства складатиметься вiдповiдно до вимог МСФЗ, якi дiють на дату складання звiтностi.</w:t>
            </w:r>
            <w:r>
              <w:rPr>
                <w:rFonts w:eastAsia="Times New Roman"/>
                <w:color w:val="000000"/>
              </w:rPr>
              <w:br/>
              <w:t>Фiнансова звiтнiсть Товариства пiдготовлена вiдповiдно до МСФЗ у редакцiї, затвердженiй Радою по Мiжнародним стандартам фiнансової звiтностi (Рада по МСФЗ) та розмiщенiй на офiцiйному сайтi Мiнiстерства фiнансiв України.</w:t>
            </w:r>
            <w:r>
              <w:rPr>
                <w:rFonts w:eastAsia="Times New Roman"/>
                <w:color w:val="000000"/>
              </w:rPr>
              <w:br/>
              <w:t>Надання i розкриття iнформацiї вiдповiдає вимогам МСФЗ 1. Iнформацiя надана вiдносно одного звiтного перiоду 2016р. В примiтках розкривається iнформацiя про основнi корегування у вiдповiдностi до МСФЗ. Оцiнки вiдносно вхiдних залишкiв балансу станом на 01.01.2012р., а також сум, якi стосуються всiх iнших перiодiв, наданих у фiнансовiй звiтностi вiдповiдно до МСФЗ, здiйснюються у вiдповiдностi до мiжнародних стандартiв. Визнанню пiдлягають всi активи i зобов’язання, якi вiдповiдають критерiям визнання згiдно МСФЗ.</w:t>
            </w:r>
            <w:r>
              <w:rPr>
                <w:rFonts w:eastAsia="Times New Roman"/>
                <w:color w:val="000000"/>
              </w:rPr>
              <w:br/>
            </w:r>
            <w:r>
              <w:rPr>
                <w:rFonts w:eastAsia="Times New Roman"/>
                <w:color w:val="000000"/>
              </w:rPr>
              <w:lastRenderedPageBreak/>
              <w:t>Всi визнанi активи i зобов’язання оцiнюються вiдповiдно до МСФЗ по iсторичнiй собiвартостi. Товариство використовує вимоги МСФЗ про ретроспективне застосування всiх стандартiв, якi дiють на дату пiдготовки фiнансової звiтностi згiдно МСФЗ вперше за один звiтний перiод.</w:t>
            </w:r>
            <w:r>
              <w:rPr>
                <w:rFonts w:eastAsia="Times New Roman"/>
                <w:color w:val="000000"/>
              </w:rPr>
              <w:br/>
              <w:t>Товариство ретроспективно застосувала стандарти МСБО 16, МСБО 38 з дати свого створення для перерахунку балансової вартостi основних засобiв i нематерiальних активiв.</w:t>
            </w:r>
            <w:r>
              <w:rPr>
                <w:rFonts w:eastAsia="Times New Roman"/>
                <w:color w:val="000000"/>
              </w:rPr>
              <w:br/>
              <w:t>Для розумiння всiх iснуючих коригувань Балансу i Звiту про прибутки i збитки, Товариство надала узгодження статей власного капiталу вiдповiдно до МСФЗ i ранiше застосовуваними правилами облiку П (С)БО на дату переходу 01.01.2012р. В узгодженнi розмежовуються змiни у зв’язку з переходом на нову облiкову полiтику i виправленнi помилок.</w:t>
            </w:r>
            <w:r>
              <w:rPr>
                <w:rFonts w:eastAsia="Times New Roman"/>
                <w:color w:val="000000"/>
              </w:rPr>
              <w:br/>
              <w:t>Для складання фiнансової звiтностi у вiдповiдностi до МСФЗ керiвництво здiйснювало оцiнку активiв, зобов’язань, доходiв i витрат на основi принципу обачностi.</w:t>
            </w:r>
            <w:r>
              <w:rPr>
                <w:rFonts w:eastAsia="Times New Roman"/>
                <w:color w:val="000000"/>
              </w:rPr>
              <w:br/>
              <w:t>Основнi змiни в порiвняннi з фiнансовою звiтнiстю Товариствi у вiдповiдностi до положень (стандартiв) бухгалтерського облiку полягають в списаннi активiв, якi не вiдповiдають критерiям визнання у вiдповiдностi до МСФЗ, перекласифiкацiєю статей активiв, визнанням витрат у вiдповiдностi з принципом нарахування i нової облiкової полiтики. Змiни пов’язанi з переходом на МСФЗ, вiдображенi шляхом корегувань вiдповiдних статей балансу в кореспонденцiї з нерозподiленим прибутком на початок 2012р.</w:t>
            </w:r>
            <w:r>
              <w:rPr>
                <w:rFonts w:eastAsia="Times New Roman"/>
                <w:color w:val="000000"/>
              </w:rPr>
              <w:br/>
              <w:t xml:space="preserve">Використання оцiнок та припущень - При пiдготовцi фiнансової звiтностi Пiдприємство робить оцiнки та припущення, якi мають вплив на визначення сум активiв та зобов'язань, визначення доходiв та витрат звiтного перiоду, розкриття умовних активiв та зобов'язань на дату пiдготовки фiнансової звiтностi, ґрунтуючись на МСФЗ, МСБО та тлумаченнях, розроблених Комiтетом з тлумачень мiжнародної фiнансової звiтностi. </w:t>
            </w:r>
            <w:r>
              <w:rPr>
                <w:rFonts w:eastAsia="Times New Roman"/>
                <w:color w:val="000000"/>
              </w:rPr>
              <w:br/>
              <w:t>ОСНОВНI ПРИНЦИПИ БУХГАЛТЕРСЬКОГО ОБЛIКУ</w:t>
            </w:r>
            <w:r>
              <w:rPr>
                <w:rFonts w:eastAsia="Times New Roman"/>
                <w:color w:val="000000"/>
              </w:rPr>
              <w:br/>
              <w:t>Визнання та оцiнка фiнансових iнструментiв</w:t>
            </w:r>
            <w:r>
              <w:rPr>
                <w:rFonts w:eastAsia="Times New Roman"/>
                <w:color w:val="000000"/>
              </w:rPr>
              <w:br/>
              <w:t>Товариство визнає фiнансовий актив або фiнансове зобов'язання у балансi, коли i тiльки коли воно стає стороною контрактних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w:t>
            </w:r>
            <w:r>
              <w:rPr>
                <w:rFonts w:eastAsia="Times New Roman"/>
                <w:color w:val="000000"/>
              </w:rPr>
              <w:br/>
              <w:t>Товариство визнає такi категорiї фiнансових iнструментiв:</w:t>
            </w:r>
            <w:r>
              <w:rPr>
                <w:rFonts w:eastAsia="Times New Roman"/>
                <w:color w:val="000000"/>
              </w:rPr>
              <w:br/>
              <w:t>• фiнансовий актив, доступний для продажу;</w:t>
            </w:r>
            <w:r>
              <w:rPr>
                <w:rFonts w:eastAsia="Times New Roman"/>
                <w:color w:val="000000"/>
              </w:rPr>
              <w:br/>
              <w:t>• iнвестицiї, утримуванi до погашення;</w:t>
            </w:r>
            <w:r>
              <w:rPr>
                <w:rFonts w:eastAsia="Times New Roman"/>
                <w:color w:val="000000"/>
              </w:rPr>
              <w:br/>
              <w:t>• дебiторська заборгованiсть;</w:t>
            </w:r>
            <w:r>
              <w:rPr>
                <w:rFonts w:eastAsia="Times New Roman"/>
                <w:color w:val="000000"/>
              </w:rPr>
              <w:br/>
              <w:t>Пiд час первiсного визнання фiнансового активу або фiнансового зобов'язання Товариство оцiнює їх за їхньою справедливою вартiстю плюс операцiйнi витрати, якi безпосередньо належить до придбання або випуску фiнансового активу чи фiнансового зобов'язання.</w:t>
            </w:r>
            <w:r>
              <w:rPr>
                <w:rFonts w:eastAsia="Times New Roman"/>
                <w:color w:val="000000"/>
              </w:rPr>
              <w:br/>
              <w:t>Облiкова полiтика щодо подальшої оцiнки фiнансових iнструментiв розкривається нижче у вiдповiдних роздiлах облiкової полiтики.</w:t>
            </w:r>
            <w:r>
              <w:rPr>
                <w:rFonts w:eastAsia="Times New Roman"/>
                <w:color w:val="000000"/>
              </w:rPr>
              <w:br/>
              <w:t>Грошовi кошти та їхнi еквiваленти</w:t>
            </w:r>
            <w:r>
              <w:rPr>
                <w:rFonts w:eastAsia="Times New Roman"/>
                <w:color w:val="000000"/>
              </w:rPr>
              <w:br/>
              <w:t>Грошовими коштами та їх еквiвалентами в Товариствi вважають грошовi кошти на поточних рахунках, iнших рахунках в банках (депозитнi), грошовi кошти в касi, грошовi документи i їх еквiваленти, якi не обмежуються у використаннi. Фiнансова звiтнiсть Товариства складається в нацiональнiй валютi України - гривнi.</w:t>
            </w:r>
            <w:r>
              <w:rPr>
                <w:rFonts w:eastAsia="Times New Roman"/>
                <w:color w:val="000000"/>
              </w:rPr>
              <w:br/>
              <w:t>Курсовi рiзницi вiдображаються загальною сумою у фiнансовiй звiтностi того перiоду, в якому вони виникають.</w:t>
            </w:r>
            <w:r>
              <w:rPr>
                <w:rFonts w:eastAsia="Times New Roman"/>
                <w:color w:val="000000"/>
              </w:rPr>
              <w:br/>
              <w:t>На дату складання фiнансової звiтностi згiдно МСБО 21 всi монетарнi статтi, якi облiковуються в iноземнiй валютi перераховуються i вiдображаються по курсу НБУ на дату складання звiтностi.</w:t>
            </w:r>
            <w:r>
              <w:rPr>
                <w:rFonts w:eastAsia="Times New Roman"/>
                <w:color w:val="000000"/>
              </w:rPr>
              <w:br/>
              <w:t>Дебiторська заборгованiсть</w:t>
            </w:r>
            <w:r>
              <w:rPr>
                <w:rFonts w:eastAsia="Times New Roman"/>
                <w:color w:val="000000"/>
              </w:rPr>
              <w:br/>
              <w:t>Для фiнансової звiтностi дебiторська заборгованiсть класифiкується як поточна i довгострокова. Для вiдображення безнадiйної дебiторської заборгованостi на пiдприємствi може створюватись резерв сумнiвних боргiв.</w:t>
            </w:r>
            <w:r>
              <w:rPr>
                <w:rFonts w:eastAsia="Times New Roman"/>
                <w:color w:val="000000"/>
              </w:rPr>
              <w:br/>
              <w:t xml:space="preserve">Резерв на покриття збиткiв вiд зменшення корисностi визначається як рiзниця мiж балансовою вартiстю та теперiшньою вартiстю очiкуваних майбутнiх грошових потокiв. Визначення суми резерву на покриття збиткiв вiд зменшення корисностi вiдбувається на основi аналiзу дебiторiв та вiдображає суму, яка, на думку керiвництва, достатня для покриття понесених збиткiв. Для </w:t>
            </w:r>
            <w:r>
              <w:rPr>
                <w:rFonts w:eastAsia="Times New Roman"/>
                <w:color w:val="000000"/>
              </w:rPr>
              <w:lastRenderedPageBreak/>
              <w:t>фiнансових активiв, якi є iстотними, резерви створюються на основi iндивiдуальної оцiнки окремих дебiторiв, для фiнансових активiв, суми яких iндивiдуально не є iстотними - на основi групової оцiнки. Фактори, якi Пiдприємство розглядає при визначеннi того, чи є у нього об'єктивнi свiдчення наявностi збиткiв вiд зменшення корисностi, включають iнформацiю про тенденцiї непогашення заборгованостi у строк, лiквiднiсть, платоспроможнiсть боржника. Для групи дебiторiв такими факторами є негативнi змiни у станi платежiв позичальникiв у групi, таких як збiльшення кiлькостi прострочених платежiв; негативнi економiчнi умови у галузi або географiчному регiонi.</w:t>
            </w:r>
            <w:r>
              <w:rPr>
                <w:rFonts w:eastAsia="Times New Roman"/>
                <w:color w:val="000000"/>
              </w:rPr>
              <w:br/>
              <w:t>Сума збиткiв визнається у прибутку чи збитку. Якщо в наступному перiодi сума збитку вiд зменшення корисностi зменшується i це зменшення може бути об'єктивно пов'язаним з подiєю, яка вiдбувається пiсля визнання зменшення корисностi, то попередньо визнаний збиток вiд зменшення корисностi сторнується за рахунок коригування резервiв. Сума сторнування визнається у прибутку чи збитку. У разi неможливостi повернення дебiторської заборгованостi вона списується за рахунок створеного резерву на покриття збиткiв вiд зменшення корисностi.</w:t>
            </w:r>
            <w:r>
              <w:rPr>
                <w:rFonts w:eastAsia="Times New Roman"/>
                <w:color w:val="000000"/>
              </w:rPr>
              <w:br/>
              <w:t>Кредиторська заборгованiсть</w:t>
            </w:r>
            <w:r>
              <w:rPr>
                <w:rFonts w:eastAsia="Times New Roman"/>
                <w:color w:val="000000"/>
              </w:rPr>
              <w:br/>
              <w:t>Кредиторська заборгованiсть включає в себе заборгованiсть за послугами. Уся кредиторська заборгованiсть облiковується за методом нарахування. Супутнi послуги являють собою операцiї, якi не передбачають передачу ризикiв i безпосередньо вiдображаються у фiнансовiй звiтност</w:t>
            </w:r>
            <w:proofErr w:type="gramStart"/>
            <w:r>
              <w:rPr>
                <w:rFonts w:eastAsia="Times New Roman"/>
                <w:color w:val="000000"/>
              </w:rPr>
              <w:t>i .</w:t>
            </w:r>
            <w:proofErr w:type="gramEnd"/>
            <w:r>
              <w:rPr>
                <w:rFonts w:eastAsia="Times New Roman"/>
                <w:color w:val="000000"/>
              </w:rPr>
              <w:t xml:space="preserve"> </w:t>
            </w:r>
            <w:r>
              <w:rPr>
                <w:rFonts w:eastAsia="Times New Roman"/>
                <w:color w:val="000000"/>
              </w:rPr>
              <w:br/>
              <w:t>Оренда</w:t>
            </w:r>
            <w:r>
              <w:rPr>
                <w:rFonts w:eastAsia="Times New Roman"/>
                <w:color w:val="000000"/>
              </w:rPr>
              <w:br/>
              <w:t>Оренда класифiкується як фiнансова оренда, коли за умовами оренди передаються в основному всi ризики i вигоди, пов’язанi з експлуатацiєю активу, i оренда вiдповiдає одному з критерiїв визначених в МСБО 17 “Оренда”. Оренда активiв, за якою ризики та винагороди, пов'язанi з правом власностi на актив, фактично залишаються в орендодавця, класифiкується як операцiйна оренда. Оренднi платежi за угодою про операцiйну оренду визнаються як витрати на прямолiнiйнiй основi протягом строку оренди. Дохiд вiд оренди за угодами про операцiйну оренду Пiдприємство визнає на прямолiнiйнiй основi протягом строку оренди. Затрати, включаючи амортизацiю, понесенi при отриманнi доходу вiд оренди, визнаються як витрати.</w:t>
            </w:r>
            <w:r>
              <w:rPr>
                <w:rFonts w:eastAsia="Times New Roman"/>
                <w:color w:val="000000"/>
              </w:rPr>
              <w:br/>
              <w:t>Визнання доходiв i витрат</w:t>
            </w:r>
            <w:r>
              <w:rPr>
                <w:rFonts w:eastAsia="Times New Roman"/>
                <w:color w:val="000000"/>
              </w:rPr>
              <w:br/>
              <w:t>Доходи та витрати визнаються за методом нарахування. Дохiд вiд надання послуг вiдображається в момент виникнення незалежно вiд дати надходження коштiв i визначається, виходячи iз ступеня завершеностi операцiї з надання послуг на дату балансу.</w:t>
            </w:r>
            <w:r>
              <w:rPr>
                <w:rFonts w:eastAsia="Times New Roman"/>
                <w:color w:val="000000"/>
              </w:rPr>
              <w:br/>
              <w:t>Дивiденди визнаються доходом, коли встановлено право на отримання виплати.</w:t>
            </w:r>
            <w:r>
              <w:rPr>
                <w:rFonts w:eastAsia="Times New Roman"/>
                <w:color w:val="000000"/>
              </w:rPr>
              <w:br/>
              <w:t>Витрати, понесенi у зв'язку з отриманням доходу, визнаються у тому ж перiодi, що й вiдповiднi доходи.</w:t>
            </w:r>
            <w:r>
              <w:rPr>
                <w:rFonts w:eastAsia="Times New Roman"/>
                <w:color w:val="000000"/>
              </w:rPr>
              <w:br/>
              <w:t xml:space="preserve">Основнi засоби </w:t>
            </w:r>
            <w:r>
              <w:rPr>
                <w:rFonts w:eastAsia="Times New Roman"/>
                <w:color w:val="000000"/>
              </w:rPr>
              <w:br/>
              <w:t>Товариство визнає матерiальний об'єкт основним засобом, якщо вiн утримується з метою використання їх у процесi своєї дiяльностi, надання послуг, або для здiйснення адмiнiстративних i соцiально-культурних функцiй, очiкуваний строк корисного використання (експлуатацiї) яких бiльше одного року.</w:t>
            </w:r>
            <w:r>
              <w:rPr>
                <w:rFonts w:eastAsia="Times New Roman"/>
                <w:color w:val="000000"/>
              </w:rPr>
              <w:br/>
              <w:t>Основнi засоби Товариства облiковуються i вiдображаються у фiнансовiй звiтностi вiдповiдно до МСБО 16 “Основнi засоби”.</w:t>
            </w:r>
            <w:r>
              <w:rPr>
                <w:rFonts w:eastAsia="Times New Roman"/>
                <w:color w:val="000000"/>
              </w:rPr>
              <w:br/>
              <w:t xml:space="preserve">Основнi засоби Товариства облiковуються по об’єктам. Об’єкти основних засобiв класифiкуються за окремими класами. Готовi до експлуатацiї об’єкти, якi планують використовувати в складi основних засобiв, </w:t>
            </w:r>
            <w:proofErr w:type="gramStart"/>
            <w:r>
              <w:rPr>
                <w:rFonts w:eastAsia="Times New Roman"/>
                <w:color w:val="000000"/>
              </w:rPr>
              <w:t>до моменту</w:t>
            </w:r>
            <w:proofErr w:type="gramEnd"/>
            <w:r>
              <w:rPr>
                <w:rFonts w:eastAsia="Times New Roman"/>
                <w:color w:val="000000"/>
              </w:rPr>
              <w:t xml:space="preserve"> початку експлуатацiї облiковуються в складi класу придбання, але не введення в експлуатацiю основних засобiв.</w:t>
            </w:r>
            <w:r>
              <w:rPr>
                <w:rFonts w:eastAsia="Times New Roman"/>
                <w:color w:val="000000"/>
              </w:rPr>
              <w:br/>
              <w:t>Придбанi основнi засоби оцiнюються за первинною вартiстю, яка включає в себе вартiсть придбання i всi затрати пов’язанi з доставкою i доведенням об’єкта до експлуатацiї.</w:t>
            </w:r>
            <w:r>
              <w:rPr>
                <w:rFonts w:eastAsia="Times New Roman"/>
                <w:color w:val="000000"/>
              </w:rPr>
              <w:br/>
              <w:t>Виготовлення об’єктiв основних засобiв власними силами оцiнюється за фактичними прямими витратами на їх створення. Пiд час вводу в експлуатацiю їх вартiсть порiвнюється з вартiстю вiдшкодування вiдповiдно до МСБО 36 “Зменшення корисностi активiв”.</w:t>
            </w:r>
            <w:r>
              <w:rPr>
                <w:rFonts w:eastAsia="Times New Roman"/>
                <w:color w:val="000000"/>
              </w:rPr>
              <w:br/>
              <w:t xml:space="preserve">Лiквiдацiйна вартiсть – це сума грошових коштiв, яку Товариство очiкує отримати за актив при його вибуттi пiсля закiнчення строку корисного використання, за вирахуванням затрат на його вибуття. У випадку коли лiквiдацiйну вартiсть об’єкту основних засобiв неможливо оцiнити або </w:t>
            </w:r>
            <w:r>
              <w:rPr>
                <w:rFonts w:eastAsia="Times New Roman"/>
                <w:color w:val="000000"/>
              </w:rPr>
              <w:lastRenderedPageBreak/>
              <w:t>сума її неi</w:t>
            </w:r>
            <w:proofErr w:type="gramStart"/>
            <w:r>
              <w:rPr>
                <w:rFonts w:eastAsia="Times New Roman"/>
                <w:color w:val="000000"/>
              </w:rPr>
              <w:t>стотна ,</w:t>
            </w:r>
            <w:proofErr w:type="gramEnd"/>
            <w:r>
              <w:rPr>
                <w:rFonts w:eastAsia="Times New Roman"/>
                <w:color w:val="000000"/>
              </w:rPr>
              <w:t xml:space="preserve"> лiквiдацiйна вартiсть не визначається. </w:t>
            </w:r>
            <w:r>
              <w:rPr>
                <w:rFonts w:eastAsia="Times New Roman"/>
                <w:color w:val="000000"/>
              </w:rPr>
              <w:br/>
              <w:t xml:space="preserve">Строк корисного використання по групам однорiдних об’єктiв основних засобiв визначається керiвництвом Товариства. За результатами щорiчної iнвентаризацiї основних засобiв строк їх корисного використання може переглядатись. </w:t>
            </w:r>
            <w:r>
              <w:rPr>
                <w:rFonts w:eastAsia="Times New Roman"/>
                <w:color w:val="000000"/>
              </w:rPr>
              <w:br/>
              <w:t>Строк корисного використання об’єктiв основних засобiв, отриманих в лiзинг, встановлюється рiвним термiну дiї договору лiзингу (строку оплати лiзингових платежiв).</w:t>
            </w:r>
            <w:r>
              <w:rPr>
                <w:rFonts w:eastAsia="Times New Roman"/>
                <w:color w:val="000000"/>
              </w:rPr>
              <w:br/>
              <w:t>Нарахування амортизацiї по об’єктам основних засобiв здiйснюється прямолiнiйно, з врахуванням строку корисного використання цього об’єкта. Нарахування амортизацiї основних засобiв починається з мiсяця, коли вони стають готовими до експлуатацiї.</w:t>
            </w:r>
            <w:r>
              <w:rPr>
                <w:rFonts w:eastAsia="Times New Roman"/>
                <w:color w:val="000000"/>
              </w:rPr>
              <w:br/>
              <w:t>Витрати на обслуговування, експлуатацiю i ремонт основних засобiв списують на затрати перiоду по мiрi їх виникнення. Вартiсть суттєвих оновлень i удосконалення основних засобiв капiталiзується. Якщо при змiнi одного iз компонентiв складних об’єктiв основних засобiв виконанi умови визнання матерiального активу, то вiдповiднi витрати додаються до балансової вартостi складного об’єкту, а операцiя по замiнi розглядається як реалiзацiя (вибуття) старого компонента.</w:t>
            </w:r>
            <w:r>
              <w:rPr>
                <w:rFonts w:eastAsia="Times New Roman"/>
                <w:color w:val="000000"/>
              </w:rPr>
              <w:br/>
              <w:t>На дату звiтностi для оцiнки основних засобiв використовували iсторичну собiвартiсть.</w:t>
            </w:r>
            <w:r>
              <w:rPr>
                <w:rFonts w:eastAsia="Times New Roman"/>
                <w:color w:val="000000"/>
              </w:rPr>
              <w:br/>
              <w:t>У випадку наявностi факторiв знецiнення активiв, основнi засоби вiдображаються за мiнусом збитку вiд знецiнення згiдно МСБО 36 “Зменшення корисностi активiв”.</w:t>
            </w:r>
            <w:r>
              <w:rPr>
                <w:rFonts w:eastAsia="Times New Roman"/>
                <w:color w:val="000000"/>
              </w:rPr>
              <w:br/>
              <w:t>Нематерiальнi активи.</w:t>
            </w:r>
            <w:r>
              <w:rPr>
                <w:rFonts w:eastAsia="Times New Roman"/>
                <w:color w:val="000000"/>
              </w:rPr>
              <w:br/>
              <w:t>Нематерiальнi активи товариства облiковуються i вiдображаються у фiнансовiй звiтностi згiдно МСБО 38 “ Нематерiальнi активи”.</w:t>
            </w:r>
            <w:r>
              <w:rPr>
                <w:rFonts w:eastAsia="Times New Roman"/>
                <w:color w:val="000000"/>
              </w:rPr>
              <w:br/>
              <w:t>Нематерiальними активами визнаються немонетарнi активи, якi не мають матерiальної форми, можуть бути iдентифiкованi (вiдокремленi вiд Товариства) i утримуються компанiєю на протязi перiоду бiльше 1 року (або операцiйного циклу) для виробництва, торгiвлi, в адмiнiстративних цiлях або передачi в оренду iншим особам.</w:t>
            </w:r>
            <w:r>
              <w:rPr>
                <w:rFonts w:eastAsia="Times New Roman"/>
                <w:color w:val="000000"/>
              </w:rPr>
              <w:br/>
              <w:t>Об’єкти нематерiальних активiв класифiкуються за окремими групами:</w:t>
            </w:r>
            <w:r>
              <w:rPr>
                <w:rFonts w:eastAsia="Times New Roman"/>
                <w:color w:val="000000"/>
              </w:rPr>
              <w:br/>
              <w:t>- права користування природними ресурсами;</w:t>
            </w:r>
            <w:r>
              <w:rPr>
                <w:rFonts w:eastAsia="Times New Roman"/>
                <w:color w:val="000000"/>
              </w:rPr>
              <w:br/>
              <w:t>- права користування майном;</w:t>
            </w:r>
            <w:r>
              <w:rPr>
                <w:rFonts w:eastAsia="Times New Roman"/>
                <w:color w:val="000000"/>
              </w:rPr>
              <w:br/>
              <w:t>- права на знаки для товарiв i послуг;</w:t>
            </w:r>
            <w:r>
              <w:rPr>
                <w:rFonts w:eastAsia="Times New Roman"/>
                <w:color w:val="000000"/>
              </w:rPr>
              <w:br/>
              <w:t>- права на об’єкти промислової власностi;</w:t>
            </w:r>
            <w:r>
              <w:rPr>
                <w:rFonts w:eastAsia="Times New Roman"/>
                <w:color w:val="000000"/>
              </w:rPr>
              <w:br/>
              <w:t>- авторськi та сумiжнi з ними права;</w:t>
            </w:r>
            <w:r>
              <w:rPr>
                <w:rFonts w:eastAsia="Times New Roman"/>
                <w:color w:val="000000"/>
              </w:rPr>
              <w:br/>
              <w:t>- iншi нематерiальнi активи.</w:t>
            </w:r>
            <w:r>
              <w:rPr>
                <w:rFonts w:eastAsia="Times New Roman"/>
                <w:color w:val="000000"/>
              </w:rPr>
              <w:br/>
              <w:t>Нематерiальнi активи оцiнюються за iсторичною собiвартiстю, яка включає вартiсть придбання i затрати, пов’язанi з доведенням нематерiальних активiв до експлуатацiї.</w:t>
            </w:r>
            <w:r>
              <w:rPr>
                <w:rFonts w:eastAsia="Times New Roman"/>
                <w:color w:val="000000"/>
              </w:rPr>
              <w:br/>
              <w:t>Собiвартiсть внутрiшньо створеного нематерiального активу складається iз всiх затрат на виробництво i пiдготовку активу до використання. Витрати на дослiдження (науково-дослiднi роботи) визнаються в перiод їх виникнення.</w:t>
            </w:r>
            <w:r>
              <w:rPr>
                <w:rFonts w:eastAsia="Times New Roman"/>
                <w:color w:val="000000"/>
              </w:rPr>
              <w:br/>
              <w:t>Наступнi витрати на нематерiальнi активи збiльшують їх собiвартiсть, якщо:</w:t>
            </w:r>
            <w:r>
              <w:rPr>
                <w:rFonts w:eastAsia="Times New Roman"/>
                <w:color w:val="000000"/>
              </w:rPr>
              <w:br/>
              <w:t>- iснує ймовiрнiсть що цi витрати призведуть до генерування активом майбутнiх економiчних вигод, якi перевищать його початково оцiнений рiвень ефективностi;</w:t>
            </w:r>
            <w:r>
              <w:rPr>
                <w:rFonts w:eastAsia="Times New Roman"/>
                <w:color w:val="000000"/>
              </w:rPr>
              <w:br/>
              <w:t>- якщо витрати можливо достовiрно оцiнити i вiднести на вiдповiдний актив.</w:t>
            </w:r>
            <w:r>
              <w:rPr>
                <w:rFonts w:eastAsia="Times New Roman"/>
                <w:color w:val="000000"/>
              </w:rPr>
              <w:br/>
              <w:t>Якщо подальшi витрати на нематерiальний актив необхiднi для пiдтримання первiсної ефективностi активу, вони визнаються витратами перiоду.</w:t>
            </w:r>
            <w:r>
              <w:rPr>
                <w:rFonts w:eastAsia="Times New Roman"/>
                <w:color w:val="000000"/>
              </w:rPr>
              <w:br/>
              <w:t>Нематерiальнi активи амортизуються прямолiнiйним методом на протязi очiкуваного строку їх експлуатацiї. Нарахування амортизацiї починається з мiсяця, коли вони стають готовими до експлуатацiї.</w:t>
            </w:r>
            <w:r>
              <w:rPr>
                <w:rFonts w:eastAsia="Times New Roman"/>
                <w:color w:val="000000"/>
              </w:rPr>
              <w:br/>
              <w:t>Очiкуваний строк корисного використання нематерiальних активiв визначається при його облiку з врахуванням морального зносу, правових i iнших обмежень вiдносно строкiв використання або iнших факторiв, а також строкiв використання подiбних активiв.</w:t>
            </w:r>
            <w:r>
              <w:rPr>
                <w:rFonts w:eastAsia="Times New Roman"/>
                <w:color w:val="000000"/>
              </w:rPr>
              <w:br/>
              <w:t>На звiтну дату матерiальнi активи облiковуються за первiсною вартiстю з врахуванням можливого знецiнення згiдно МСБО 36 “Зменшення корисностi активiв”.</w:t>
            </w:r>
            <w:r>
              <w:rPr>
                <w:rFonts w:eastAsia="Times New Roman"/>
                <w:color w:val="000000"/>
              </w:rPr>
              <w:br/>
              <w:t>Фiнансовi iнвестицiї</w:t>
            </w:r>
            <w:r>
              <w:rPr>
                <w:rFonts w:eastAsia="Times New Roman"/>
                <w:color w:val="000000"/>
              </w:rPr>
              <w:br/>
              <w:t xml:space="preserve">Фiнансовi iнвестицiї облiковуються вiдповiдно до МСБО 39 «Фiнансовi iнструменти». </w:t>
            </w:r>
            <w:r>
              <w:rPr>
                <w:rFonts w:eastAsia="Times New Roman"/>
                <w:color w:val="000000"/>
              </w:rPr>
              <w:br/>
            </w:r>
            <w:r>
              <w:rPr>
                <w:rFonts w:eastAsia="Times New Roman"/>
                <w:color w:val="000000"/>
              </w:rPr>
              <w:lastRenderedPageBreak/>
              <w:t>Товариство вiдображає необоротнi активи у фiнансовiй звiтностi з врахуванням знецiнення вiдповiдно до МСБО 36.</w:t>
            </w:r>
            <w:r>
              <w:rPr>
                <w:rFonts w:eastAsia="Times New Roman"/>
                <w:color w:val="000000"/>
              </w:rPr>
              <w:br/>
              <w:t>На дату складання фiнансової звiтностi Товариство може визначати ознаки знецiнення активiв:</w:t>
            </w:r>
            <w:r>
              <w:rPr>
                <w:rFonts w:eastAsia="Times New Roman"/>
                <w:color w:val="000000"/>
              </w:rPr>
              <w:br/>
              <w:t>- бiльш суттєве зменшення ринкової вартостi активу протягом звiтного перiоду, нiж сподiвались;</w:t>
            </w:r>
            <w:r>
              <w:rPr>
                <w:rFonts w:eastAsia="Times New Roman"/>
                <w:color w:val="000000"/>
              </w:rPr>
              <w:br/>
              <w:t>- старiння чи пошкодження активу;</w:t>
            </w:r>
            <w:r>
              <w:rPr>
                <w:rFonts w:eastAsia="Times New Roman"/>
                <w:color w:val="000000"/>
              </w:rPr>
              <w:br/>
              <w:t>- суттєвi негативнi змiни в технологiчнiй, ринковiй чи правовiй сферi, в якiй здiйснює дiяльнiсть Товариство, протягом звiтного перiоду або очiкуванi найближчим часом;</w:t>
            </w:r>
            <w:r>
              <w:rPr>
                <w:rFonts w:eastAsia="Times New Roman"/>
                <w:color w:val="000000"/>
              </w:rPr>
              <w:br/>
              <w:t>- перевищення балансової вартостi чистих активiв над їх ринковою вартiстю;</w:t>
            </w:r>
            <w:r>
              <w:rPr>
                <w:rFonts w:eastAsia="Times New Roman"/>
                <w:color w:val="000000"/>
              </w:rPr>
              <w:br/>
              <w:t>- суттєвi змiни способу використання активу протягом звiтного перiоду або такi ж очiкуванi змiни в наступному перiодi, якi негативно впливають на дiяльнiсть Товариствi.</w:t>
            </w:r>
            <w:r>
              <w:rPr>
                <w:rFonts w:eastAsia="Times New Roman"/>
                <w:color w:val="000000"/>
              </w:rPr>
              <w:br/>
              <w:t xml:space="preserve">У випадку наявностi ознак знецiнення активiв, Товариство визначає суму очiкуваного вiдшкодування активу. Сума очiкуваного вiдшкодування активу – це найбiльша з двох оцiнок: справедливої вартостi за мiнусом затрат </w:t>
            </w:r>
            <w:proofErr w:type="gramStart"/>
            <w:r>
              <w:rPr>
                <w:rFonts w:eastAsia="Times New Roman"/>
                <w:color w:val="000000"/>
              </w:rPr>
              <w:t>на продаж</w:t>
            </w:r>
            <w:proofErr w:type="gramEnd"/>
            <w:r>
              <w:rPr>
                <w:rFonts w:eastAsia="Times New Roman"/>
                <w:color w:val="000000"/>
              </w:rPr>
              <w:t xml:space="preserve"> i цiннiстю використання. Якщо сума очiкуваного вiдшкодування менше балансової вартостi активу, рiзниця визнається збитками вiд знецiнення в звiтi про фiнансовi результати з одночасним зменшенням балансової вартостi активу до суми вiдшкодування.</w:t>
            </w:r>
            <w:r>
              <w:rPr>
                <w:rFonts w:eastAsia="Times New Roman"/>
                <w:color w:val="000000"/>
              </w:rPr>
              <w:br/>
              <w:t>Облiк витрат на позики</w:t>
            </w:r>
            <w:r>
              <w:rPr>
                <w:rFonts w:eastAsia="Times New Roman"/>
                <w:color w:val="000000"/>
              </w:rPr>
              <w:br/>
              <w:t>Товариство для складання фiнансової звiтностi застосовує базовий пiдхiд до витрат на позики згiдно МСБО 23. Витрати на позики (проценти i iншi витрати, понесенi в зв’язку з залученням позикових коштiв) визнаються витратами того перiоду, в якому вони виникли, з вiдображенням у фiнансовiй звiтностi.</w:t>
            </w:r>
            <w:r>
              <w:rPr>
                <w:rFonts w:eastAsia="Times New Roman"/>
                <w:color w:val="000000"/>
              </w:rPr>
              <w:br/>
              <w:t>Запаси</w:t>
            </w:r>
            <w:r>
              <w:rPr>
                <w:rFonts w:eastAsia="Times New Roman"/>
                <w:color w:val="000000"/>
              </w:rPr>
              <w:br/>
              <w:t>Облiк i вiдображення у фiнансовiй звiтностi запасiв здiйснюється у вiдповiдностi з МСБО 2. Собiвартiсть придбаних запасiв складається iз вартостi придбання i iнших витрат, безпосередньо пов’язаних з їх придбанням.</w:t>
            </w:r>
            <w:r>
              <w:rPr>
                <w:rFonts w:eastAsia="Times New Roman"/>
                <w:color w:val="000000"/>
              </w:rPr>
              <w:br/>
              <w:t>Зобов’язання i резерви.</w:t>
            </w:r>
            <w:r>
              <w:rPr>
                <w:rFonts w:eastAsia="Times New Roman"/>
                <w:color w:val="000000"/>
              </w:rPr>
              <w:br/>
              <w:t>Облiк i визнання зобов’язань i резервiв в Товариствi здiйснюється вiдповiдно до МСБО 37 “Забезпечення, умовнi зобов’язання та умовнi активи”.</w:t>
            </w:r>
            <w:r>
              <w:rPr>
                <w:rFonts w:eastAsia="Times New Roman"/>
                <w:color w:val="000000"/>
              </w:rPr>
              <w:br/>
              <w:t>Зобов’язання Товариства класифiкуються як довгостроковi (строк погашення бiльше 12 мiсяцiв) i поточнi (строк погашення до 12 мiсяцiв).</w:t>
            </w:r>
            <w:r>
              <w:rPr>
                <w:rFonts w:eastAsia="Times New Roman"/>
                <w:color w:val="000000"/>
              </w:rPr>
              <w:br/>
              <w:t>Товариство переводить частину довгострокової кредиторської заборгованостi в стан короткострокової, коли станом на дату балансу, за умовами договору до повернення частини боргу залишається менше 365 днiв.</w:t>
            </w:r>
            <w:r>
              <w:rPr>
                <w:rFonts w:eastAsia="Times New Roman"/>
                <w:color w:val="000000"/>
              </w:rPr>
              <w:br/>
              <w:t xml:space="preserve">Товариство визнає умовнi зобов’язання, виходячи з їх критерiїв визнання, покладаючись на оцiнку ймовiрностi їх виникнення i суми погашення, отриманої вiд експертiв. </w:t>
            </w:r>
            <w:r>
              <w:rPr>
                <w:rFonts w:eastAsia="Times New Roman"/>
                <w:color w:val="000000"/>
              </w:rPr>
              <w:br/>
              <w:t>Винагорода працiвникам.</w:t>
            </w:r>
            <w:r>
              <w:rPr>
                <w:rFonts w:eastAsia="Times New Roman"/>
                <w:color w:val="000000"/>
              </w:rPr>
              <w:br/>
              <w:t>Всi винагороди працiвникам в Товариствi облiковуються як поточнi, вiдповiдно до МСБО 19 “Виплати працiвникам”.</w:t>
            </w:r>
            <w:r>
              <w:rPr>
                <w:rFonts w:eastAsia="Times New Roman"/>
                <w:color w:val="000000"/>
              </w:rPr>
              <w:br/>
              <w:t>Пенсiйнi зобов'язання</w:t>
            </w:r>
            <w:r>
              <w:rPr>
                <w:rFonts w:eastAsia="Times New Roman"/>
                <w:color w:val="000000"/>
              </w:rPr>
              <w:br/>
              <w:t xml:space="preserve">Вiдповiдно до українського законодавства, Пiдприємство утримує внески iз заробiтної плати працiвникiв до Державного пенсiйного фонду. Поточнi внески розраховуються як процентнi вiдрахування iз поточних нарахувань заробiтної платнi, такi витрати вiдображаються у перiодi, в якому була надана заробiтна платня. </w:t>
            </w:r>
            <w:r>
              <w:rPr>
                <w:rFonts w:eastAsia="Times New Roman"/>
                <w:color w:val="000000"/>
              </w:rPr>
              <w:br/>
              <w:t xml:space="preserve">Витрати з податку на прибуток. </w:t>
            </w:r>
            <w:r>
              <w:rPr>
                <w:rFonts w:eastAsia="Times New Roman"/>
                <w:color w:val="000000"/>
              </w:rPr>
              <w:br/>
              <w:t xml:space="preserve">Витрати з податку на прибуток визначаються i вiдображаються у фiнансовiй звiтностi Товариства вiдповiдно до МСБО 12 “Податки на прибуток”. </w:t>
            </w:r>
            <w:r>
              <w:rPr>
                <w:rFonts w:eastAsia="Times New Roman"/>
                <w:color w:val="000000"/>
              </w:rPr>
              <w:br/>
              <w:t>Витрати з податку на прибуток, якi вiдображаються у звiтi про фiнансовi результати, складаються iз суми поточного i вiдстроченого податку на прибуток.</w:t>
            </w:r>
            <w:r>
              <w:rPr>
                <w:rFonts w:eastAsia="Times New Roman"/>
                <w:color w:val="000000"/>
              </w:rPr>
              <w:br/>
              <w:t>Поточний податок на прибуток визначається виходячи iз суми оподатковуваного доходу (прибутку) за рiк, який обчислюється згiдно податкового законодавства України.</w:t>
            </w:r>
            <w:r>
              <w:rPr>
                <w:rFonts w:eastAsia="Times New Roman"/>
                <w:color w:val="000000"/>
              </w:rPr>
              <w:br/>
              <w:t>Вiдстроченi податковi активи вiдображаються лише в тому випадку, коли iснує ймовiрнiсть, що наявнiсть майбутнього оподатковуваного доходу дозволить реалiзувати вiдстроченi податковi активи або можуть бути зарахованi проти iснуючих вiдкладених податкових зобов’язань.</w:t>
            </w:r>
            <w:r>
              <w:rPr>
                <w:rFonts w:eastAsia="Times New Roman"/>
                <w:color w:val="000000"/>
              </w:rPr>
              <w:br/>
            </w:r>
            <w:r>
              <w:rPr>
                <w:rFonts w:eastAsia="Times New Roman"/>
                <w:color w:val="000000"/>
              </w:rPr>
              <w:lastRenderedPageBreak/>
              <w:t>Власний капiтал.</w:t>
            </w:r>
            <w:r>
              <w:rPr>
                <w:rFonts w:eastAsia="Times New Roman"/>
                <w:color w:val="000000"/>
              </w:rPr>
              <w:br/>
              <w:t>Статутний капiтал, включає в себе внески учасникiв.</w:t>
            </w:r>
            <w:r>
              <w:rPr>
                <w:rFonts w:eastAsia="Times New Roman"/>
                <w:color w:val="000000"/>
              </w:rPr>
              <w:br/>
              <w:t xml:space="preserve">Порядок розподiлу накопиченого прибутку визначається зборами учасникiв. </w:t>
            </w:r>
            <w:r>
              <w:rPr>
                <w:rFonts w:eastAsia="Times New Roman"/>
                <w:color w:val="000000"/>
              </w:rPr>
              <w:br/>
              <w:t>Умовнi зобов'язання та активи.</w:t>
            </w:r>
            <w:r>
              <w:rPr>
                <w:rFonts w:eastAsia="Times New Roman"/>
                <w:color w:val="000000"/>
              </w:rPr>
              <w:br/>
              <w:t>Пiдприємство не визнає умовнi зобов'язання. Iнформацiя про умовне зобов'язання розкривається, якщо можливiсть вибуття ресурсiв, якi втiлюють у собi економiчнi вигоди, не є вiддаленою. Пiдприємство не визнає умовнi активи. Стисла iнформацiя про умовний актив розкривається, коли надходження економiчних вигод є ймовiрним.</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lastRenderedPageBreak/>
              <w:t> </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 xml:space="preserve">Виробництво електроенергiї та постачання її ПАТ "ЕК "Чернiвцiобленерго" (договiр № 130 вiд 07.05.2008р.), ПАТ "ЕК"Вiнницяобленерго" (договiр №509/13 вiд 05.09.2013 року) та субпiдрядним органiзацiям, задiяним на будiвництвi ДнiстровськоїГАЕС, є основними видами дiяльностi Товариства. Кiлькiсть виробленої електроенергiї залежить вiд сезонних змiн. У зв'язку iз збiльшенням притоку води навеснi та восени кiлькiсть виробленої електроенергiї зменшується, оскiльки Нижньоднiстровська ГЕС є буферною гiдроелектростанцiєю i, крiм виробництва електричної енергiї, призначена для регулювання стоку р. Днiстер. </w:t>
            </w:r>
            <w:proofErr w:type="gramStart"/>
            <w:r>
              <w:rPr>
                <w:rFonts w:eastAsia="Times New Roman"/>
                <w:color w:val="000000"/>
              </w:rPr>
              <w:t>На ринку</w:t>
            </w:r>
            <w:proofErr w:type="gramEnd"/>
            <w:r>
              <w:rPr>
                <w:rFonts w:eastAsia="Times New Roman"/>
                <w:color w:val="000000"/>
              </w:rPr>
              <w:t xml:space="preserve"> електроенергiї попит на продукцiю Товариства залишається стабiльно високим з перспективою подальшого росту. Дiяльнiсть Товариства з виробництва та постачання електроенергiї не пов'язана з особливим ризиком для працiвникiв чи навколишнього середовища.Постачальники сировини та матерiалiв вiдсутнi у зв'язку iз специфiкою виробництва продукцiї.Проблемним питанням для Товариства залишаются претензiї Республiки Молдова на право власностi на частину Нижньоднiстровська ГЕС пов'язанi iз особливiстю адмiнiстративно-територiального розмiщення станцiї: гребля станцiї частково крiпиться до правого берега р. Днiстер, що є територiєю Молдови.</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 xml:space="preserve">За останнi 5 рокiв ПрАТ "Нижньоднiстровська ГЕС"придбало оргтехнiку, меблi та iнвентар для господарської дiяльностi, легковий автомобiль для перевезення адмiнiстративного персоналу , а також автобус MAN для перевезення персоналу на Нижньоднiстровську ГЕС та установку бiологiчної очистки стiчних вод "Бiотал", здiйснено: </w:t>
            </w:r>
            <w:r>
              <w:rPr>
                <w:rFonts w:eastAsia="Times New Roman"/>
                <w:color w:val="000000"/>
              </w:rPr>
              <w:br/>
              <w:t>- замiна компресора високого тиску;</w:t>
            </w:r>
            <w:r>
              <w:rPr>
                <w:rFonts w:eastAsia="Times New Roman"/>
                <w:color w:val="000000"/>
              </w:rPr>
              <w:br/>
              <w:t>- ремонт примiщень ГЕС;</w:t>
            </w:r>
            <w:r>
              <w:rPr>
                <w:rFonts w:eastAsia="Times New Roman"/>
                <w:color w:val="000000"/>
              </w:rPr>
              <w:br/>
              <w:t>- монтаж пожежної сигналiзацiї;</w:t>
            </w:r>
            <w:r>
              <w:rPr>
                <w:rFonts w:eastAsia="Times New Roman"/>
                <w:color w:val="000000"/>
              </w:rPr>
              <w:br/>
              <w:t>- реконструкцiю вiдкритого розподiльчого пристрою ВРП-35кВ;</w:t>
            </w:r>
            <w:r>
              <w:rPr>
                <w:rFonts w:eastAsia="Times New Roman"/>
                <w:color w:val="000000"/>
              </w:rPr>
              <w:br/>
              <w:t>- капiтальний ремонт адмiнбудiвлi МТБ;</w:t>
            </w:r>
            <w:r>
              <w:rPr>
                <w:rFonts w:eastAsia="Times New Roman"/>
                <w:color w:val="000000"/>
              </w:rPr>
              <w:br/>
              <w:t>- впровадження АСКОЕ на ГЕС;</w:t>
            </w:r>
            <w:r>
              <w:rPr>
                <w:rFonts w:eastAsia="Times New Roman"/>
                <w:color w:val="000000"/>
              </w:rPr>
              <w:br/>
              <w:t>- ремонтнi роботи по бетонуванню вiдкосу нижнього б'єфу ГЕС;</w:t>
            </w:r>
            <w:r>
              <w:rPr>
                <w:rFonts w:eastAsia="Times New Roman"/>
                <w:color w:val="000000"/>
              </w:rPr>
              <w:br/>
              <w:t>- капiтальний ремонт монтажного майданчика ГЕС;</w:t>
            </w:r>
            <w:r>
              <w:rPr>
                <w:rFonts w:eastAsia="Times New Roman"/>
                <w:color w:val="000000"/>
              </w:rPr>
              <w:br/>
              <w:t>- капiтальний ремонт трансформатора Т-2;</w:t>
            </w:r>
            <w:r>
              <w:rPr>
                <w:rFonts w:eastAsia="Times New Roman"/>
                <w:color w:val="000000"/>
              </w:rPr>
              <w:br/>
              <w:t>- капiтальний ремонт акумуляторної батареї зв'язку;</w:t>
            </w:r>
            <w:r>
              <w:rPr>
                <w:rFonts w:eastAsia="Times New Roman"/>
                <w:color w:val="000000"/>
              </w:rPr>
              <w:br/>
              <w:t>- капiтальний ремонт бетонного покриття водопереливiв ГА №1, ГА №2;</w:t>
            </w:r>
            <w:r>
              <w:rPr>
                <w:rFonts w:eastAsia="Times New Roman"/>
                <w:color w:val="000000"/>
              </w:rPr>
              <w:br/>
              <w:t>- капiтальний ремонт гермокришок водопереливiв ГА №1, ГА№3;</w:t>
            </w:r>
            <w:r>
              <w:rPr>
                <w:rFonts w:eastAsia="Times New Roman"/>
                <w:color w:val="000000"/>
              </w:rPr>
              <w:br/>
              <w:t>- примiщення компресорної та сходових клiтин у будiвлi ГЕС;</w:t>
            </w:r>
            <w:r>
              <w:rPr>
                <w:rFonts w:eastAsia="Times New Roman"/>
                <w:color w:val="000000"/>
              </w:rPr>
              <w:br/>
              <w:t>- монтаж та наладка дизель-генератора на ГЕС;</w:t>
            </w:r>
            <w:r>
              <w:rPr>
                <w:rFonts w:eastAsia="Times New Roman"/>
                <w:color w:val="000000"/>
              </w:rPr>
              <w:br/>
              <w:t>- капiтальний ремонт гiдроагрегату №2,3;</w:t>
            </w:r>
            <w:r>
              <w:rPr>
                <w:rFonts w:eastAsia="Times New Roman"/>
                <w:color w:val="000000"/>
              </w:rPr>
              <w:br/>
              <w:t>- ремонт примiщення насосної вiдкачки та дренажу у будiвлi ГЕС;</w:t>
            </w:r>
            <w:r>
              <w:rPr>
                <w:rFonts w:eastAsia="Times New Roman"/>
                <w:color w:val="000000"/>
              </w:rPr>
              <w:br/>
              <w:t>- ремонт системи управлiння гiдрозатворами ГЕС;</w:t>
            </w:r>
            <w:r>
              <w:rPr>
                <w:rFonts w:eastAsia="Times New Roman"/>
                <w:color w:val="000000"/>
              </w:rPr>
              <w:br/>
              <w:t>- реконструкцiю КРП 6кВ(II секцiя) Днiстровської ГЕС;</w:t>
            </w:r>
            <w:r>
              <w:rPr>
                <w:rFonts w:eastAsia="Times New Roman"/>
                <w:color w:val="000000"/>
              </w:rPr>
              <w:br/>
              <w:t>- капiтальний ремонт трансформатора Т-1 та силових трансформаторiв ТМ-400 кВа i ТМ-630 кВа;</w:t>
            </w:r>
            <w:r>
              <w:rPr>
                <w:rFonts w:eastAsia="Times New Roman"/>
                <w:color w:val="000000"/>
              </w:rPr>
              <w:br/>
              <w:t>- будiвництво ВРП 110 кВ (I-II черга)</w:t>
            </w:r>
            <w:r>
              <w:rPr>
                <w:rFonts w:eastAsia="Times New Roman"/>
                <w:color w:val="000000"/>
              </w:rPr>
              <w:br/>
              <w:t xml:space="preserve">За звiтний рiк освоєно капiтальних iнвестицiй на суму 25 724 тис. грн. за рахунок власних коштiв </w:t>
            </w:r>
            <w:r>
              <w:rPr>
                <w:rFonts w:eastAsia="Times New Roman"/>
                <w:color w:val="000000"/>
              </w:rPr>
              <w:lastRenderedPageBreak/>
              <w:t>товариства.</w:t>
            </w:r>
            <w:r>
              <w:rPr>
                <w:rFonts w:eastAsia="Times New Roman"/>
                <w:color w:val="000000"/>
              </w:rPr>
              <w:br/>
              <w:t>У 2018 роцi заплановано здiйснити:</w:t>
            </w:r>
            <w:r>
              <w:rPr>
                <w:rFonts w:eastAsia="Times New Roman"/>
                <w:color w:val="000000"/>
              </w:rPr>
              <w:br/>
              <w:t>- будiвництво складу монтажних приспособ гiдроагрегатiв.</w:t>
            </w:r>
            <w:r>
              <w:rPr>
                <w:rFonts w:eastAsia="Times New Roman"/>
                <w:color w:val="000000"/>
              </w:rPr>
              <w:br/>
              <w:t>- капiтальний ремонт дороги сполученням Днiстровська ГЕС-1 - Нижньоднiстровська ГЕС.</w:t>
            </w:r>
            <w:r>
              <w:rPr>
                <w:rFonts w:eastAsia="Times New Roman"/>
                <w:color w:val="000000"/>
              </w:rPr>
              <w:br/>
              <w:t>Загальна сума капiтальних iнвестицiй та ремонтiв, запланована на 2018 рiк - 10 503 тис. грн.</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lastRenderedPageBreak/>
              <w:t> </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Винагорода членам Наглядової ради та Ревiзiйної комiсiї, обраним на загальних зборах акцiонерiв 25 квiтня 2017 року, не передбачена, оскiльки вони перебувають на державнiй службi.</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Основнi засоби емiтента знаходяться в м. Новоднiстровськ та на територiї Нижньоднiстровської ГЕС. Екологiчних проблемних питань в ходi експлуатацiї основних засобiв у 2017 роцi не виникало.</w:t>
            </w:r>
            <w:r>
              <w:rPr>
                <w:rFonts w:eastAsia="Times New Roman"/>
                <w:color w:val="000000"/>
              </w:rPr>
              <w:br/>
              <w:t>За перiод з 01.01.2017 року по 31.12.2017 року очиснi споруди на ГЕС пройшли промислову експлуатацiю. За перiод експлуатацiї встановлено, що результати очистки стiчної води вiдповiдають межам норм.</w:t>
            </w:r>
            <w:r>
              <w:rPr>
                <w:rFonts w:eastAsia="Times New Roman"/>
                <w:color w:val="000000"/>
              </w:rPr>
              <w:br/>
              <w:t>Новоднiстровське регiональне управлiння водних ресурсiв та експлуатацiї Днiстровських водосховищ щоквартально проводить аналiз скинутої води.</w:t>
            </w:r>
            <w:r>
              <w:rPr>
                <w:rFonts w:eastAsia="Times New Roman"/>
                <w:color w:val="000000"/>
              </w:rPr>
              <w:br/>
              <w:t>Стiчнi води з пiдроздiлiв ПрАТ “Нижньоднiстровська ГЕС” ( адмiнкорпус, база МТБ) скидаються в комунальну каналiзацiю управлiння Тепловодоканалу м. Новоднiстровська, згiдно договору, на базi «Вишнева» стiчнi води скидаються до установки повної бiологiчної очистки побутових стокiв типу «Бiотал» продуктивнiстю 50 м.куб за добу.</w:t>
            </w:r>
            <w:r>
              <w:rPr>
                <w:rFonts w:eastAsia="Times New Roman"/>
                <w:color w:val="000000"/>
              </w:rPr>
              <w:br/>
              <w:t>Систем зворотного водопостачання на об‘єктах ПрАТ “Нижньоднiстровська ГЕС” не має.</w:t>
            </w:r>
            <w:r>
              <w:rPr>
                <w:rFonts w:eastAsia="Times New Roman"/>
                <w:color w:val="000000"/>
              </w:rPr>
              <w:br/>
              <w:t>ТОВ «Аналiтикасертфiкат» по замовленню пiдприємства проводить iнвентаризацiю викидiв, обґрунтування, обсяги викидiв та пiдготовка матерiалiв для отримання дозволу на викиди забруднюючих речовин в атмосферне повiтря для Нижньоднiстровської ГЕС. Згiдно звiту забруднюючi речовини (оксид вуглецю, залiзо та його сполуки, манган та його сполуки, оксиди азоту) в межах норми.</w:t>
            </w:r>
            <w:r>
              <w:rPr>
                <w:rFonts w:eastAsia="Times New Roman"/>
                <w:color w:val="000000"/>
              </w:rPr>
              <w:br/>
              <w:t>На пiдприємствi ПрАТ “Нижньоднiстровська ГЕС” вiдсутнi установки для очищення димових газiв, оскiльки технологiя виробництва електричної енергiї на Нижньоднiстровськiй ГЕС не передбачає утворення димових газiв.</w:t>
            </w:r>
            <w:r>
              <w:rPr>
                <w:rFonts w:eastAsia="Times New Roman"/>
                <w:color w:val="000000"/>
              </w:rPr>
              <w:br/>
              <w:t>Незначнi обсяги викидiв шкiдливих речовин на Нижньоднiстровськiй ГЕС не передбачають використання газоочисного обладнання.</w:t>
            </w:r>
            <w:r>
              <w:rPr>
                <w:rFonts w:eastAsia="Times New Roman"/>
                <w:color w:val="000000"/>
              </w:rPr>
              <w:br/>
              <w:t>ПрАТ “Нижньоднiстровська ГЕС” не має золошлакових вiдходiв.</w:t>
            </w:r>
            <w:r>
              <w:rPr>
                <w:rFonts w:eastAsia="Times New Roman"/>
                <w:color w:val="000000"/>
              </w:rPr>
              <w:br/>
              <w:t>Золошлаковi звалища в ПрАТ “Нижньоднiстровська ГЕС” вiдсутнi.</w:t>
            </w:r>
            <w:r>
              <w:rPr>
                <w:rFonts w:eastAsia="Times New Roman"/>
                <w:color w:val="000000"/>
              </w:rPr>
              <w:br/>
              <w:t>У 2017 роц iПрАТ “Нижньоднiстровська ГЕС” не проводилося рекультивацiї земель.</w:t>
            </w:r>
            <w:r>
              <w:rPr>
                <w:rFonts w:eastAsia="Times New Roman"/>
                <w:color w:val="000000"/>
              </w:rPr>
              <w:br/>
              <w:t>Для виробництва електричної енергiї на Нижньоднiстровська ГЕС не використовується паливо.</w:t>
            </w:r>
            <w:r>
              <w:rPr>
                <w:rFonts w:eastAsia="Times New Roman"/>
                <w:color w:val="000000"/>
              </w:rPr>
              <w:br/>
              <w:t>Скидiв забруднених стiчних вод без проходження повної очистки, в природнi об’єкти на ПрАТ “Нижньоднiстровська ГЕС” немає.</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Не вирiшено питання демаркацiї кордону з Молдовою щодоНижньоднiстровської ГЕС. Дана проблема розглядається на державному рiвнi.</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В 2017 роцi за результатами перевiрок не виявлено порушень законодавства.</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Єдиним джерелом фiнансування витрат емiтента є тариф на вироблену електроенергiю Нижньоднiстровська ГЕС. Оскiльки товариство здiйсює постачання електроенергiї за нерегульованим тарифом, проводиться робота по збiльшенню тарифу на вiдпуск електроенергiї та покращенню iнших договiрних умов, пов'язаних iз продажем виробленої електроенергiї.</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lastRenderedPageBreak/>
              <w:t> </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Станом на 31 грудня 2017 року невиконаних договорiв (контрактiв) у ПрАТ “Нижньоднiстровська ГЕС” немає.</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 xml:space="preserve">Оскiльки рiчний виробiток електроенергiї Нижньоднiстровською ГЕС складає менше 100 млн кВт, Товариство має право вiдпускати електроенергiю поза Оптовим ринком електроенергiї, тому основна стратегiя подальшої дiяльностi полягає у пошуку найбiльш вигiдного ринку збуту електроенергiї, що передбачає покращення фiнансового стану пiдприємства у майбутньому. Стратегiя подальшої дiяльностi ПрАТ “Нижньоднiстровська ГЕС” не передбачає розширення виробництва у зв'язку iз особливостями дiяльностi буферного вузла Нижньоднiстровська ГЕС в умовах каскаду станцiй ГЕС i ГАЕС на р. Днiстер. </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У звiтному роцi дослiджень та розробок Товариством не проводилось.</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У 2017 роцi ПрАТ “Нижньоднiстровська ГЕС” виступила стороною наступних судових справах:</w:t>
            </w:r>
            <w:r>
              <w:rPr>
                <w:rFonts w:eastAsia="Times New Roman"/>
                <w:color w:val="000000"/>
              </w:rPr>
              <w:br/>
            </w:r>
            <w:r>
              <w:rPr>
                <w:rFonts w:eastAsia="Times New Roman"/>
                <w:color w:val="000000"/>
              </w:rPr>
              <w:br/>
              <w:t>1) Справа вiд "04" серпня 2016 р. №926/1798/16</w:t>
            </w:r>
            <w:r>
              <w:rPr>
                <w:rFonts w:eastAsia="Times New Roman"/>
                <w:color w:val="000000"/>
              </w:rPr>
              <w:br/>
              <w:t xml:space="preserve">За позовом Публiчного акцiонерного товариства «Днiстровська ГАЕС» до Товариства з обмеженою вiдповi-дальнiстю «Днiстер-Спецгiдроенергомонтаж» про повернення 434600,40грн. перерахованих вiдповiдачу на вiдшко-дування витрат з проведення ремонту орендованого майна. </w:t>
            </w:r>
            <w:r>
              <w:rPr>
                <w:rFonts w:eastAsia="Times New Roman"/>
                <w:color w:val="000000"/>
              </w:rPr>
              <w:br/>
              <w:t>Рiшенням Господарського суду Чернiвецької областi вiд 15.08.2016 року у справi № 926/1798/16 (суддя Желiк Б.Є.) позов задоволено. Стягнути з Товариства з обмеженою вiдповiдальнiстю «Днiстер-Спецгiдроенергомонтаж» (код 31015986) на користь Публiчного акцiонерного товариства «Днiстровська ГАЕС» (код 30149623) 434600,40грн. боргу i 6519,02грн. на повернення витрат з судового збору.</w:t>
            </w:r>
            <w:r>
              <w:rPr>
                <w:rFonts w:eastAsia="Times New Roman"/>
                <w:color w:val="000000"/>
              </w:rPr>
              <w:br/>
              <w:t>Товариством з обмеженою вiдповiдальнiстю «Днiстер-Спецгiдроенергомонтаж» № 199 вiд 25.08.2016 року подано апеляцiйну скаргу, в якiй просить рiшення Господарського суду Чернiвецької областi вiд 15.08.2016 року скасувати i прийняти нове рiшення, яким в задоволеннi позовних вимог вiдмовити повному обсязi.</w:t>
            </w:r>
            <w:r>
              <w:rPr>
                <w:rFonts w:eastAsia="Times New Roman"/>
                <w:color w:val="000000"/>
              </w:rPr>
              <w:br/>
              <w:t>Рiшенням Львiвського апеляцiйного господарського суду вiд 18 липня 2017 року апеляцiйна скарга Товариства з об-меженою вiдповiдальнiстю «Днiстер-Спецгiдроенергомонтаж» № 199 вiд 25.08.2016 року задоволена, рiшення Господар-ського суду Чернiвецької областi вiд 15.08.2016 року у справi № 926/1798/16 – скасовано, стягнено з ПАТ «Днiстровська ГАЕС» судового збору в розмiрi – 7 170,93 грн.</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 xml:space="preserve">Iнформацiя про результати господарської дiяльностi ПАТ "Днiстровська ГАЕС" у 2015-2017 рр. </w:t>
            </w:r>
            <w:r>
              <w:rPr>
                <w:rFonts w:eastAsia="Times New Roman"/>
                <w:color w:val="000000"/>
              </w:rPr>
              <w:br/>
            </w:r>
            <w:r>
              <w:rPr>
                <w:rFonts w:eastAsia="Times New Roman"/>
                <w:color w:val="000000"/>
              </w:rPr>
              <w:br/>
              <w:t>№ п/п Показники 2015 р. 2016 р. 2017 р.</w:t>
            </w:r>
            <w:r>
              <w:rPr>
                <w:rFonts w:eastAsia="Times New Roman"/>
                <w:color w:val="000000"/>
              </w:rPr>
              <w:br/>
              <w:t>1. Вiдпуск е/е, млн кВт год 49,9 57,7 75,8</w:t>
            </w:r>
            <w:r>
              <w:rPr>
                <w:rFonts w:eastAsia="Times New Roman"/>
                <w:color w:val="000000"/>
              </w:rPr>
              <w:br/>
              <w:t>2. Корисний вiдпуск, млн кВт год 46,3 53,2 70,5</w:t>
            </w:r>
            <w:r>
              <w:rPr>
                <w:rFonts w:eastAsia="Times New Roman"/>
                <w:color w:val="000000"/>
              </w:rPr>
              <w:br/>
              <w:t>3. Товарна продукцiя, тис грн 46286 63 053 86 046</w:t>
            </w:r>
            <w:r>
              <w:rPr>
                <w:rFonts w:eastAsia="Times New Roman"/>
                <w:color w:val="000000"/>
              </w:rPr>
              <w:br/>
              <w:t>4. Чистий прибуток, тис грн 956 1 834 3 291</w:t>
            </w:r>
            <w:r>
              <w:rPr>
                <w:rFonts w:eastAsia="Times New Roman"/>
                <w:color w:val="000000"/>
              </w:rPr>
              <w:br/>
              <w:t>У 2016-2017 роках спостерiгається тенденцiя до зростання вiдпуску та корисного вiдпуску електричної енергiї. Це пов'язано iз змiнами у водному режимi рiчки та введенням у роботу I та II гiдроагрегатiв Нижньоднiстровської ГЕС пiсля ремонту. На протязi останнiх трьох рокiв стабiльно зростає тариф на вiдпуск елктроенергiї, що вiдповiдним чином впливає на обсяг товарної продукцiї. За 2015-2017 роки обсяг товарної продукцiї зрiс на 85,9 %.</w:t>
            </w:r>
          </w:p>
        </w:tc>
      </w:tr>
    </w:tbl>
    <w:p w:rsidR="00DB387B" w:rsidRDefault="00DB387B">
      <w:pPr>
        <w:rPr>
          <w:rFonts w:eastAsia="Times New Roman"/>
          <w:color w:val="000000"/>
        </w:rPr>
        <w:sectPr w:rsidR="00DB387B">
          <w:pgSz w:w="11907" w:h="16840"/>
          <w:pgMar w:top="1134" w:right="851" w:bottom="851" w:left="851" w:header="0" w:footer="0" w:gutter="0"/>
          <w:cols w:space="720"/>
        </w:sectPr>
      </w:pPr>
    </w:p>
    <w:p w:rsidR="00DB387B" w:rsidRDefault="00ED4C9B">
      <w:pPr>
        <w:pStyle w:val="3"/>
        <w:rPr>
          <w:rFonts w:eastAsia="Times New Roman"/>
          <w:color w:val="000000"/>
        </w:rPr>
      </w:pPr>
      <w:r>
        <w:rPr>
          <w:rFonts w:eastAsia="Times New Roman"/>
          <w:color w:val="000000"/>
        </w:rPr>
        <w:lastRenderedPageBreak/>
        <w:t>XII. Інформація про господарську та фінансову діяльність емітента</w:t>
      </w:r>
    </w:p>
    <w:p w:rsidR="00DB387B" w:rsidRDefault="00ED4C9B">
      <w:pPr>
        <w:pStyle w:val="4"/>
        <w:rPr>
          <w:rFonts w:eastAsia="Times New Roman"/>
          <w:color w:val="000000"/>
        </w:rPr>
      </w:pPr>
      <w:r>
        <w:rPr>
          <w:rFonts w:eastAsia="Times New Roman"/>
          <w:color w:val="000000"/>
        </w:rPr>
        <w:t>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1687"/>
        <w:gridCol w:w="1476"/>
        <w:gridCol w:w="1358"/>
        <w:gridCol w:w="1476"/>
        <w:gridCol w:w="1358"/>
        <w:gridCol w:w="1476"/>
        <w:gridCol w:w="1358"/>
      </w:tblGrid>
      <w:tr w:rsidR="00DB387B">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DB387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7B" w:rsidRDefault="00DB387B">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на кінець періоду</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69381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59846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69381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59846</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46994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39714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46994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39714</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16314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12361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16314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12361</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2161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2161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3587</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3912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3912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4184</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365</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338</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27</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69804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60211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69804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60211</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ПрАТ "Нижньоднiстровська ГЕС" не користується орендованими основними засобами.Зменшення вартостi власних основних засобiв за звiтний рiк становить 13,7%.</w:t>
            </w:r>
            <w:r>
              <w:rPr>
                <w:rFonts w:eastAsia="Times New Roman"/>
                <w:color w:val="000000"/>
                <w:sz w:val="20"/>
                <w:szCs w:val="20"/>
              </w:rPr>
              <w:br/>
              <w:t>Основнi засоби вiдображаються за iсторичною вартiстю, за вирахуванням накопиченого зносу та накопичених збиткiв вiд зменшення корисностi. Iсторична вартiсть об’єкта основних засобiв включає: (а) цiну придбання, включно з iмпортними митами i податками, якi не вiдшкодовуються, за вирахуванням торгових та цiнових знижок; (б) будь-якi витрати, якi безпосередньо пов’язанi з доставкою об’єкта до мiсця розташування та приведення його у стан, необхiдний для експлуатацiї вiдповiдно до намiрiв керiвництва Товариства; (в) первiсну оцiнку витрат на демонтаж i видалення об’єкта основних засобiв та вiдновлення територiї, на якiй вiн розташований, зобов’язання за якими пiдприємство бере на себе або пiд час придбання даного об’єкта, або внаслiдок його експлуатацiї протягом певного перiоду часу з метою, яка вiдрiзняється вiд виробництва запасiв протягом цього перiоду. Вартiсть активiв, створених власними силами, включає первiсну вартiсть матерiалiв, прямi витрати на оплату працi та вiдповiдну частину виробничих накладних витрат.</w:t>
            </w:r>
            <w:r>
              <w:rPr>
                <w:rFonts w:eastAsia="Times New Roman"/>
                <w:color w:val="000000"/>
                <w:sz w:val="20"/>
                <w:szCs w:val="20"/>
              </w:rPr>
              <w:br/>
              <w:t>Iстотнi витрати на модернiзацiю та замiну частин активiв, якi збiльшують строк їхнього корисного використання або покращують їхню здатнiсть генерувати доходи, капiталiзуються у складi первiсної вартостi цих активiв. Витрати на ремонт та обслуговування основних засобiв, якi не вiдповiдають наведеним вище критерiям капiталiзацiї, включаються до складу прибутку або збитку того перiоду, в якому вони були понесенi.</w:t>
            </w:r>
            <w:r>
              <w:rPr>
                <w:rFonts w:eastAsia="Times New Roman"/>
                <w:color w:val="000000"/>
                <w:sz w:val="20"/>
                <w:szCs w:val="20"/>
              </w:rPr>
              <w:br/>
              <w:t xml:space="preserve">Сума, яка пiдлягає амортизацiї, становить первiсну вартiсть об’єкта основних засобiв, за вирахуванням його лiквiдацiйної вартостi. Лiквiдацiйна вартiсть активу – це очiкувана сума, яку Товариство одержало б на даний момент вiд реалiзацiї об’єкта основних засобiв пiсля </w:t>
            </w:r>
            <w:r>
              <w:rPr>
                <w:rFonts w:eastAsia="Times New Roman"/>
                <w:color w:val="000000"/>
                <w:sz w:val="20"/>
                <w:szCs w:val="20"/>
              </w:rPr>
              <w:lastRenderedPageBreak/>
              <w:t>вирахування очiкуваних витрат на вибуття, якби даний актив уже досяг того вiку й стану, у якому, як можна очiкувати, вiн буде перебувати наприкiнцi строку свого корисного використання.</w:t>
            </w:r>
            <w:r>
              <w:rPr>
                <w:rFonts w:eastAsia="Times New Roman"/>
                <w:color w:val="000000"/>
                <w:sz w:val="20"/>
                <w:szCs w:val="20"/>
              </w:rPr>
              <w:br/>
              <w:t>Амортизацiя основних засобiв призначена для списання суми, яка пiдлягає амортизацiї, протягом строку корисного використання вiдповiдного активу i розраховується з використанням прямолiнiйного методу. Очiкуванi строки корисного використання представленi таким чином (кiлькiсть рокiв):</w:t>
            </w:r>
            <w:r>
              <w:rPr>
                <w:rFonts w:eastAsia="Times New Roman"/>
                <w:color w:val="000000"/>
                <w:sz w:val="20"/>
                <w:szCs w:val="20"/>
              </w:rPr>
              <w:br/>
              <w:t>Будинки та споруди 20-70</w:t>
            </w:r>
            <w:r>
              <w:rPr>
                <w:rFonts w:eastAsia="Times New Roman"/>
                <w:color w:val="000000"/>
                <w:sz w:val="20"/>
                <w:szCs w:val="20"/>
              </w:rPr>
              <w:br/>
              <w:t>Передавальнi пристрої 15-35</w:t>
            </w:r>
            <w:r>
              <w:rPr>
                <w:rFonts w:eastAsia="Times New Roman"/>
                <w:color w:val="000000"/>
                <w:sz w:val="20"/>
                <w:szCs w:val="20"/>
              </w:rPr>
              <w:br/>
              <w:t>Силовi та робочi машини i обладнання 5-40</w:t>
            </w:r>
            <w:r>
              <w:rPr>
                <w:rFonts w:eastAsia="Times New Roman"/>
                <w:color w:val="000000"/>
                <w:sz w:val="20"/>
                <w:szCs w:val="20"/>
              </w:rPr>
              <w:br/>
              <w:t>Транспортнi засоби 5-14</w:t>
            </w:r>
            <w:r>
              <w:rPr>
                <w:rFonts w:eastAsia="Times New Roman"/>
                <w:color w:val="000000"/>
                <w:sz w:val="20"/>
                <w:szCs w:val="20"/>
              </w:rPr>
              <w:br/>
              <w:t>Iншi основнi засоби 1-15</w:t>
            </w:r>
            <w:r>
              <w:rPr>
                <w:rFonts w:eastAsia="Times New Roman"/>
                <w:color w:val="000000"/>
                <w:sz w:val="20"/>
                <w:szCs w:val="20"/>
              </w:rPr>
              <w:br/>
              <w:t>Земельнi дiлянки Не амортизуються</w:t>
            </w:r>
            <w:r>
              <w:rPr>
                <w:rFonts w:eastAsia="Times New Roman"/>
                <w:color w:val="000000"/>
                <w:sz w:val="20"/>
                <w:szCs w:val="20"/>
              </w:rPr>
              <w:br/>
            </w:r>
            <w:r>
              <w:rPr>
                <w:rFonts w:eastAsia="Times New Roman"/>
                <w:color w:val="000000"/>
                <w:sz w:val="20"/>
                <w:szCs w:val="20"/>
              </w:rPr>
              <w:br/>
              <w:t>Прибуток або збиток, який виникає у результатi вибуття або списання об’єкта основних засобiв, визначається як рiзниця мiж надходженнями вiд реалiзацiї та балансовою вартiстю активу i визнається у складi прибутку або збитку.</w:t>
            </w:r>
            <w:r>
              <w:rPr>
                <w:rFonts w:eastAsia="Times New Roman"/>
                <w:color w:val="000000"/>
                <w:sz w:val="20"/>
                <w:szCs w:val="20"/>
              </w:rPr>
              <w:br/>
              <w:t xml:space="preserve">Незавершене будiвництво включає витрати, безпосередньо пов’язанi з будiвництвом основних засобiв. Незавершене будiвництво не амортизується. Амортизацiя незавершеного будiвництва, на основi методу, який застосовується до iнших об’єктiв основних засобiв, починається з моменту готовностi даних активiв до експлуатацiї, тобто коли вони перебувають у тому мiсцi й станi, якi необхiднi, щоб їх можна було використовувати за призначенням, визначеним керiвництвом. </w:t>
            </w:r>
            <w:r>
              <w:rPr>
                <w:rFonts w:eastAsia="Times New Roman"/>
                <w:color w:val="000000"/>
                <w:sz w:val="20"/>
                <w:szCs w:val="20"/>
              </w:rPr>
              <w:br/>
              <w:t>Зменшення корисностi основних засобiв – На кожну звiтну дату Товариство переглядає балансову вартiсть своїх основних засобiв з метою визначення, чи iснують будь-якi свiдчення того, що такi активи зазнали збитку вiд зменшення корисностi. У разi наявностi таких свiдчень Товариство здiйснює оцiнку суми вiдшкодування вiдповiдного активу для визначення розмiру збитку вiд зменшення корисностi (якщо таке зменшення корисностi мало мiсце). Якщо неможливо здiйснити оцiнку суми вiдшкодування окремого активу, Товариство оцiнює суму вiдшкодування одиницi, яка генерує грошовi кошти, до якої належить цей актив. У випадках коли можна визначити обґрунтовану та послiдовну основу для розподiлу активiв, корпоративнi активи також розподiляються на окремi одиницi, якi генерують грошовi кошти, або, iнакше, вони розподiляються до найменшої групи одиниць, якi генерують грошовi кошти, для яких можна визначити обґрунтовану та послiдовну основу для розподiлу.</w:t>
            </w:r>
            <w:r>
              <w:rPr>
                <w:rFonts w:eastAsia="Times New Roman"/>
                <w:color w:val="000000"/>
                <w:sz w:val="20"/>
                <w:szCs w:val="20"/>
              </w:rPr>
              <w:br/>
              <w:t xml:space="preserve">Сума очiкуваного вiдшкодування являє собою бiльшу з величин: справедливої вартостi, за вирахуванням витрат </w:t>
            </w:r>
            <w:proofErr w:type="gramStart"/>
            <w:r>
              <w:rPr>
                <w:rFonts w:eastAsia="Times New Roman"/>
                <w:color w:val="000000"/>
                <w:sz w:val="20"/>
                <w:szCs w:val="20"/>
              </w:rPr>
              <w:t>на продаж</w:t>
            </w:r>
            <w:proofErr w:type="gramEnd"/>
            <w:r>
              <w:rPr>
                <w:rFonts w:eastAsia="Times New Roman"/>
                <w:color w:val="000000"/>
                <w:sz w:val="20"/>
                <w:szCs w:val="20"/>
              </w:rPr>
              <w:t>, та вартостi використання. При проведеннi оцiнки вартостi використання сума очiкуваних майбутнiх потокiв грошових коштiв дисконтується до їхньої теперiшньої вартостi з використанням ставки дисконтування до оподаткування, яка вiдображає поточнi ринковi оцiнки вартостi грошей у часi та ризики, характернi для активу, стосовно якого не були скоригованi оцiнки майбутнiх потокiв грошових коштiв.</w:t>
            </w:r>
            <w:r>
              <w:rPr>
                <w:rFonts w:eastAsia="Times New Roman"/>
                <w:color w:val="000000"/>
                <w:sz w:val="20"/>
                <w:szCs w:val="20"/>
              </w:rPr>
              <w:br/>
              <w:t>Якщо, за оцiнками, сума очiкуваного вiдшкодування активу (або одиницi, яка генерує грошовi кошти) менша за його балансову вартiсть, то балансова вартiсть активу (або одиницi, яка генерує грошовi кошти) зменшується до суми його очiкуваного вiдшкодування. Збитки вiд зменшення корисностi визнаються негайно у складi прибутку або збитку.</w:t>
            </w:r>
            <w:r>
              <w:rPr>
                <w:rFonts w:eastAsia="Times New Roman"/>
                <w:color w:val="000000"/>
                <w:sz w:val="20"/>
                <w:szCs w:val="20"/>
              </w:rPr>
              <w:br/>
              <w:t>У випадках коли збиток вiд зменшення корисностi у подальшому сторнується, балансова вартiсть активу (або одиницi, яка генерує грошовi кошти) збiльшується до переглянутої оцiнки його суми вiдшкодування, але таким чином, щоб збiльшена балансова вартiсть не перевищувала балансову вартiсть, яка була б визначена, якби для активу (або одиницi, яка генерує грошовi кошти) у попереднi роки не був визнаний збиток вiд зменшення корисностi. Сторнування збитку вiд зменшення корисностi визнається негайно у складi прибутку або збитку.</w:t>
            </w:r>
          </w:p>
        </w:tc>
      </w:tr>
    </w:tbl>
    <w:p w:rsidR="00DB387B" w:rsidRDefault="00ED4C9B">
      <w:pPr>
        <w:pStyle w:val="4"/>
        <w:rPr>
          <w:rFonts w:eastAsia="Times New Roman"/>
          <w:color w:val="000000"/>
        </w:rPr>
      </w:pPr>
      <w:r>
        <w:rPr>
          <w:rFonts w:eastAsia="Times New Roman"/>
          <w:color w:val="000000"/>
        </w:rPr>
        <w:lastRenderedPageBreak/>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030"/>
        <w:gridCol w:w="3781"/>
        <w:gridCol w:w="4378"/>
      </w:tblGrid>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111699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94613</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475329.000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475329.000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475329.000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475329.000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lastRenderedPageBreak/>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Розрахунок вартостi чистих активiв виконано згiдно Рiшення ДКЦПФР вiд 17.11.2004 року № 485 "Про схвалення методичних рекомендацiй щодо визначення вартостi чистих активiв акцiонерних товариств". Величина статутного капiталу вiдповiдає величинi скоригованого статутного капiталу так, як неоплачений капiтал та вилучений капiтал у товариства вiдсутнi.</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Розрахункова вартiсть чистих активiв за 2017 рiк менша за розмiр статутного капiталу, що не узгоджується з вимогами закододавства щодо вартостi чистих активiв та розмiру статутного фонду.</w:t>
            </w:r>
          </w:p>
        </w:tc>
      </w:tr>
    </w:tbl>
    <w:p w:rsidR="00DB387B" w:rsidRDefault="00ED4C9B">
      <w:pPr>
        <w:pStyle w:val="4"/>
        <w:rPr>
          <w:rFonts w:eastAsia="Times New Roman"/>
          <w:color w:val="000000"/>
        </w:rPr>
      </w:pPr>
      <w:r>
        <w:rPr>
          <w:rFonts w:eastAsia="Times New Roman"/>
          <w:color w:val="000000"/>
        </w:rPr>
        <w:t>3. Інформація про зобов'язання та забезпечення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304"/>
        <w:gridCol w:w="1366"/>
        <w:gridCol w:w="1877"/>
        <w:gridCol w:w="2384"/>
        <w:gridCol w:w="1258"/>
      </w:tblGrid>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Дата погашення</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за іншими цінними паперами (у тому числі за похідними цінними </w:t>
            </w:r>
            <w:proofErr w:type="gramStart"/>
            <w:r>
              <w:rPr>
                <w:rFonts w:eastAsia="Times New Roman"/>
                <w:color w:val="000000"/>
                <w:sz w:val="20"/>
                <w:szCs w:val="20"/>
              </w:rPr>
              <w:t>паперами)(</w:t>
            </w:r>
            <w:proofErr w:type="gramEnd"/>
            <w:r>
              <w:rPr>
                <w:rFonts w:eastAsia="Times New Roman"/>
                <w:color w:val="000000"/>
                <w:sz w:val="20"/>
                <w:szCs w:val="20"/>
              </w:rPr>
              <w:t>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2156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Інші зобов’язання та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7474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Усього зобов’язань та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9630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Прострочених зобов'язань станом на 31 грудня 2017 року пiдприємство не має. </w:t>
            </w:r>
          </w:p>
        </w:tc>
      </w:tr>
    </w:tbl>
    <w:p w:rsidR="00DB387B" w:rsidRDefault="00ED4C9B">
      <w:pPr>
        <w:pStyle w:val="4"/>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600"/>
        <w:gridCol w:w="1262"/>
        <w:gridCol w:w="1533"/>
        <w:gridCol w:w="1152"/>
        <w:gridCol w:w="1420"/>
        <w:gridCol w:w="1533"/>
        <w:gridCol w:w="1149"/>
        <w:gridCol w:w="1540"/>
      </w:tblGrid>
      <w:tr w:rsidR="00DB387B">
        <w:tc>
          <w:tcPr>
            <w:tcW w:w="6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 з/п</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Основний вид продукції*</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Обсяг виробництва</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Обсяг реалізованої продукції</w:t>
            </w:r>
          </w:p>
        </w:tc>
      </w:tr>
      <w:tr w:rsidR="00DB387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7B" w:rsidRDefault="00DB387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7B" w:rsidRDefault="00DB387B">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 xml:space="preserve">у натуральній формі (фізична од. </w:t>
            </w:r>
            <w:proofErr w:type="gramStart"/>
            <w:r>
              <w:rPr>
                <w:rFonts w:eastAsia="Times New Roman"/>
                <w:b/>
                <w:bCs/>
                <w:color w:val="000000"/>
                <w:sz w:val="20"/>
                <w:szCs w:val="20"/>
              </w:rPr>
              <w:t>вим.*</w:t>
            </w:r>
            <w:proofErr w:type="gramEnd"/>
            <w:r>
              <w:rPr>
                <w:rFonts w:eastAsia="Times New Roman"/>
                <w:b/>
                <w:bCs/>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у грошовій формі (тис.грн.)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у відсотках до всієї виробленої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 xml:space="preserve">у натуральній формі (фізична од. </w:t>
            </w:r>
            <w:proofErr w:type="gramStart"/>
            <w:r>
              <w:rPr>
                <w:rFonts w:eastAsia="Times New Roman"/>
                <w:b/>
                <w:bCs/>
                <w:color w:val="000000"/>
                <w:sz w:val="20"/>
                <w:szCs w:val="20"/>
              </w:rPr>
              <w:t>вим.*</w:t>
            </w:r>
            <w:proofErr w:type="gramEnd"/>
            <w:r>
              <w:rPr>
                <w:rFonts w:eastAsia="Times New Roman"/>
                <w:b/>
                <w:bCs/>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у грошовій формі (тіс.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у відсотках до всієї реалізованої продукції</w:t>
            </w:r>
          </w:p>
        </w:tc>
      </w:tr>
      <w:tr w:rsidR="00DB387B">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8</w:t>
            </w:r>
          </w:p>
        </w:tc>
      </w:tr>
      <w:tr w:rsidR="00DB387B">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Електрична енергiя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70488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86046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70488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86046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100.00</w:t>
            </w:r>
          </w:p>
        </w:tc>
      </w:tr>
    </w:tbl>
    <w:p w:rsidR="00DB387B" w:rsidRDefault="00ED4C9B">
      <w:pPr>
        <w:pStyle w:val="small-text"/>
        <w:rPr>
          <w:color w:val="000000"/>
        </w:rPr>
      </w:pPr>
      <w:r>
        <w:rPr>
          <w:color w:val="000000"/>
        </w:rPr>
        <w:t>* Зазначаються основні види продукції, які становлять більше 5 % від загального обсягу виробленої продукції в грошовому вимірі.</w:t>
      </w:r>
      <w:r>
        <w:rPr>
          <w:color w:val="000000"/>
        </w:rPr>
        <w:br/>
        <w:t>** Фізична одиниця виміру (зазначити) – штуки, тонни, кілограми, метри тощо.</w:t>
      </w:r>
    </w:p>
    <w:p w:rsidR="00DB387B" w:rsidRDefault="00ED4C9B">
      <w:pPr>
        <w:pStyle w:val="4"/>
        <w:rPr>
          <w:rFonts w:eastAsia="Times New Roman"/>
          <w:color w:val="000000"/>
        </w:rPr>
      </w:pPr>
      <w:r>
        <w:rPr>
          <w:rFonts w:eastAsia="Times New Roman"/>
          <w:color w:val="000000"/>
        </w:rPr>
        <w:lastRenderedPageBreak/>
        <w:t>5. Інформація про собівартість реалізованої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750"/>
        <w:gridCol w:w="3112"/>
        <w:gridCol w:w="6327"/>
      </w:tblGrid>
      <w:tr w:rsidR="00DB387B">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Склад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Відсоток від загальної собівартості реалізованої продукції (у відсотках)</w:t>
            </w:r>
          </w:p>
        </w:tc>
      </w:tr>
      <w:tr w:rsidR="00DB387B">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w:t>
            </w:r>
          </w:p>
        </w:tc>
      </w:tr>
      <w:tr w:rsidR="00DB387B">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Виробничi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24.0</w:t>
            </w:r>
          </w:p>
        </w:tc>
      </w:tr>
      <w:tr w:rsidR="00DB387B">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Витрати на оплату працi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26.7</w:t>
            </w:r>
          </w:p>
        </w:tc>
      </w:tr>
      <w:tr w:rsidR="00DB387B">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Амортизацiйнi вiдрахування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15.5</w:t>
            </w:r>
          </w:p>
        </w:tc>
      </w:tr>
      <w:tr w:rsidR="00DB387B">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Сировина i матерiали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8.9</w:t>
            </w:r>
          </w:p>
        </w:tc>
      </w:tr>
      <w:tr w:rsidR="00DB387B">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Податки, збори, обов'язковi платежi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6.1</w:t>
            </w:r>
          </w:p>
        </w:tc>
      </w:tr>
      <w:tr w:rsidR="00DB387B">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Iншi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18.8</w:t>
            </w:r>
          </w:p>
        </w:tc>
      </w:tr>
    </w:tbl>
    <w:p w:rsidR="00DB387B" w:rsidRDefault="00ED4C9B">
      <w:pPr>
        <w:pStyle w:val="small-text"/>
        <w:rPr>
          <w:color w:val="000000"/>
        </w:rPr>
      </w:pPr>
      <w:r>
        <w:rPr>
          <w:color w:val="000000"/>
        </w:rPr>
        <w:t xml:space="preserve">* Зазначаються витрати, які складають більше 5% від собівартості реалізованої продукції. </w:t>
      </w:r>
    </w:p>
    <w:p w:rsidR="00DB387B" w:rsidRDefault="00DB387B">
      <w:pPr>
        <w:rPr>
          <w:rFonts w:eastAsia="Times New Roman"/>
          <w:color w:val="000000"/>
        </w:rPr>
        <w:sectPr w:rsidR="00DB387B">
          <w:pgSz w:w="11907" w:h="16840"/>
          <w:pgMar w:top="1134" w:right="851" w:bottom="851" w:left="851" w:header="0" w:footer="0" w:gutter="0"/>
          <w:cols w:space="720"/>
        </w:sectPr>
      </w:pPr>
    </w:p>
    <w:p w:rsidR="00DB387B" w:rsidRDefault="00ED4C9B">
      <w:pPr>
        <w:pStyle w:val="3"/>
        <w:rPr>
          <w:rFonts w:eastAsia="Times New Roman"/>
          <w:color w:val="000000"/>
        </w:rPr>
      </w:pPr>
      <w:r>
        <w:rPr>
          <w:rFonts w:eastAsia="Times New Roman"/>
          <w:color w:val="000000"/>
        </w:rPr>
        <w:lastRenderedPageBreak/>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firstRow="1" w:lastRow="0" w:firstColumn="1" w:lastColumn="0" w:noHBand="0" w:noVBand="1"/>
      </w:tblPr>
      <w:tblGrid>
        <w:gridCol w:w="1632"/>
        <w:gridCol w:w="5719"/>
        <w:gridCol w:w="2838"/>
      </w:tblGrid>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Вид інформації</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25.04.2017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26.04.2017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02.05.2017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03.05.2017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Відомості про зміну типу акціонерного товариства</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13.05.2017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Відомості про прийняття рішення про виплату дивідендів</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13.05.2017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bl>
    <w:p w:rsidR="00DB387B" w:rsidRDefault="00ED4C9B">
      <w:pPr>
        <w:pStyle w:val="4"/>
        <w:rPr>
          <w:rFonts w:eastAsia="Times New Roman"/>
          <w:color w:val="000000"/>
        </w:rPr>
      </w:pPr>
      <w:r>
        <w:rPr>
          <w:rFonts w:eastAsia="Times New Roman"/>
          <w:color w:val="000000"/>
        </w:rPr>
        <w:t>XV. Відомості про аудиторський висновок (звіт)</w:t>
      </w:r>
    </w:p>
    <w:tbl>
      <w:tblPr>
        <w:tblW w:w="5000" w:type="pct"/>
        <w:tblCellMar>
          <w:top w:w="15" w:type="dxa"/>
          <w:left w:w="15" w:type="dxa"/>
          <w:bottom w:w="15" w:type="dxa"/>
          <w:right w:w="15" w:type="dxa"/>
        </w:tblCellMar>
        <w:tblLook w:val="04A0" w:firstRow="1" w:lastRow="0" w:firstColumn="1" w:lastColumn="0" w:noHBand="0" w:noVBand="1"/>
      </w:tblPr>
      <w:tblGrid>
        <w:gridCol w:w="7336"/>
        <w:gridCol w:w="2853"/>
      </w:tblGrid>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Аудиторська фiрма "Мiжнародна аудиторська група"</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23510442</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 xml:space="preserve">03150, м. Київ, </w:t>
            </w:r>
            <w:proofErr w:type="gramStart"/>
            <w:r>
              <w:rPr>
                <w:rFonts w:eastAsia="Times New Roman"/>
                <w:color w:val="000000"/>
                <w:sz w:val="20"/>
                <w:szCs w:val="20"/>
              </w:rPr>
              <w:t>вул.Предславинська</w:t>
            </w:r>
            <w:proofErr w:type="gramEnd"/>
            <w:r>
              <w:rPr>
                <w:rFonts w:eastAsia="Times New Roman"/>
                <w:color w:val="000000"/>
                <w:sz w:val="20"/>
                <w:szCs w:val="20"/>
              </w:rPr>
              <w:t>, 43/2</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2170 26.01.2001</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403 П 000403 23.01.2017 до 26 лист. 2020 р.</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Номер та дата видачі свідоцтва про відповідність системи контролю якості,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01.01.2017</w:t>
            </w:r>
            <w:r>
              <w:rPr>
                <w:rFonts w:eastAsia="Times New Roman"/>
                <w:color w:val="000000"/>
                <w:sz w:val="20"/>
                <w:szCs w:val="20"/>
              </w:rPr>
              <w:br/>
              <w:t>31.12.2017</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безумовно-позитивна</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Пояснювальний параграф (у разі наявності)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Iнформацiя вiдсутня.</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Номер та дата договору на проведення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08/А</w:t>
            </w:r>
            <w:r>
              <w:rPr>
                <w:rFonts w:eastAsia="Times New Roman"/>
                <w:color w:val="000000"/>
                <w:sz w:val="20"/>
                <w:szCs w:val="20"/>
              </w:rPr>
              <w:br/>
              <w:t>29.01.2018</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Дата початку та дата закінчення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12.02.2018</w:t>
            </w:r>
            <w:r>
              <w:rPr>
                <w:rFonts w:eastAsia="Times New Roman"/>
                <w:color w:val="000000"/>
                <w:sz w:val="20"/>
                <w:szCs w:val="20"/>
              </w:rPr>
              <w:br/>
              <w:t>07.03.2018</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Дата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27.03.2018</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Розмір винагороди за проведення річного аудиту,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899760</w:t>
            </w:r>
          </w:p>
        </w:tc>
      </w:tr>
    </w:tbl>
    <w:p w:rsidR="00DB387B" w:rsidRDefault="00ED4C9B">
      <w:pPr>
        <w:pStyle w:val="small-text"/>
        <w:rPr>
          <w:color w:val="000000"/>
        </w:rPr>
      </w:pPr>
      <w:r>
        <w:rPr>
          <w:color w:val="000000"/>
        </w:rPr>
        <w:t>*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Pr>
          <w:color w:val="000000"/>
        </w:rPr>
        <w:br/>
        <w:t>** Заповнюється емітентами – професійними учасниками ринку цінних паперів.</w:t>
      </w:r>
    </w:p>
    <w:p w:rsidR="00DB387B" w:rsidRDefault="00ED4C9B">
      <w:pPr>
        <w:pStyle w:val="4"/>
        <w:rPr>
          <w:rFonts w:eastAsia="Times New Roman"/>
          <w:color w:val="000000"/>
        </w:rPr>
      </w:pPr>
      <w:r>
        <w:rPr>
          <w:rFonts w:eastAsia="Times New Roman"/>
          <w:color w:val="000000"/>
        </w:rPr>
        <w:t>XVI. Текст аудиторського висновку (звіту).</w:t>
      </w:r>
    </w:p>
    <w:tbl>
      <w:tblPr>
        <w:tblW w:w="5000" w:type="pct"/>
        <w:tblCellMar>
          <w:top w:w="15" w:type="dxa"/>
          <w:left w:w="15" w:type="dxa"/>
          <w:bottom w:w="15" w:type="dxa"/>
          <w:right w:w="15" w:type="dxa"/>
        </w:tblCellMar>
        <w:tblLook w:val="04A0" w:firstRow="1" w:lastRow="0" w:firstColumn="1" w:lastColumn="0" w:noHBand="0" w:noVBand="1"/>
      </w:tblPr>
      <w:tblGrid>
        <w:gridCol w:w="7211"/>
        <w:gridCol w:w="2978"/>
      </w:tblGrid>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lastRenderedPageBreak/>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Аудиторська фiрма "Мiжнародна аудиторська група"</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23510442</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 xml:space="preserve">03150м. Київ, </w:t>
            </w:r>
            <w:proofErr w:type="gramStart"/>
            <w:r>
              <w:rPr>
                <w:rFonts w:eastAsia="Times New Roman"/>
                <w:color w:val="000000"/>
                <w:sz w:val="20"/>
                <w:szCs w:val="20"/>
              </w:rPr>
              <w:t>вул.Предславинська</w:t>
            </w:r>
            <w:proofErr w:type="gramEnd"/>
            <w:r>
              <w:rPr>
                <w:rFonts w:eastAsia="Times New Roman"/>
                <w:color w:val="000000"/>
                <w:sz w:val="20"/>
                <w:szCs w:val="20"/>
              </w:rPr>
              <w:t>, 43/2</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2170 26.01.2001</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403 П 000403 23.01.2017 до 26.11.2020 року</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Номер та дата видачі свідоцтва про відповідність системи контролю якості,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17.04.2018</w:t>
            </w:r>
            <w:r>
              <w:rPr>
                <w:rFonts w:eastAsia="Times New Roman"/>
                <w:color w:val="000000"/>
                <w:sz w:val="20"/>
                <w:szCs w:val="20"/>
              </w:rPr>
              <w:br/>
              <w:t>17.04.2018</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безумовно-позитивна</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Пояснювальний параграф (у разі наявності)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Iнформацiя вiдсутня.</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Номер та дата договору на проведення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08/А</w:t>
            </w:r>
            <w:r>
              <w:rPr>
                <w:rFonts w:eastAsia="Times New Roman"/>
                <w:color w:val="000000"/>
                <w:sz w:val="20"/>
                <w:szCs w:val="20"/>
              </w:rPr>
              <w:br/>
              <w:t>29.01.2018</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Дата початку та дата закінчення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12.02.2018</w:t>
            </w:r>
            <w:r>
              <w:rPr>
                <w:rFonts w:eastAsia="Times New Roman"/>
                <w:color w:val="000000"/>
                <w:sz w:val="20"/>
                <w:szCs w:val="20"/>
              </w:rPr>
              <w:br/>
              <w:t>07.03.2018</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Дата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27.03.2018</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Розмір винагороди за проведення річного аудиту,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899760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r>
      <w:tr w:rsidR="00DB387B">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ЗВIТ НЕЗАЛЕЖНОГО АУДИТОРА</w:t>
            </w:r>
            <w:r>
              <w:rPr>
                <w:rFonts w:eastAsia="Times New Roman"/>
                <w:color w:val="000000"/>
                <w:sz w:val="20"/>
                <w:szCs w:val="20"/>
              </w:rPr>
              <w:br/>
              <w:t>Акцiонерам та Дирекцiї ПрАТ «НИЖНЬОДНIСТРОВСЬКА ГЕС»</w:t>
            </w:r>
            <w:r>
              <w:rPr>
                <w:rFonts w:eastAsia="Times New Roman"/>
                <w:color w:val="000000"/>
                <w:sz w:val="20"/>
                <w:szCs w:val="20"/>
              </w:rPr>
              <w:br/>
              <w:t>Думка</w:t>
            </w:r>
            <w:r>
              <w:rPr>
                <w:rFonts w:eastAsia="Times New Roman"/>
                <w:color w:val="000000"/>
                <w:sz w:val="20"/>
                <w:szCs w:val="20"/>
              </w:rPr>
              <w:br/>
              <w:t>Ми провели аудит фiнансової звiтностi Приватного акцiонерного товариства «НИЖНЬОДНIСТРОВСЬКА ГЕС» (код ЄДРПОУ 30149623; мiсцезнаходження: м. Новоднiстровськ, Чернiвецька обл., Україна, 60236; дата державної реєстрацiї 26 березня 1999 року, далi - Товариство), що додається, яка складається з балансу (звiту про фiнансовий стан) на 31 грудня 2017 року, Звiту про фiнансовi результати (звiту про сукупний дохiд), звiту про рух грошових коштiв (за прямим методом) звiту про власний капiтал за рiк, що закiнчився зазначеною датою, i примiток до фiнансової звiтностi, включаючи стислий виклад значущих облiкових полiтик (далi разом – фiнансова звiтнiсть), складена вiдповiдно до Мiжнародних стандартiв фiнансової звiтностi у редакцiї, що розмiщена на офiцiйному сайтi Мiнiстерства фiнансiв України (далi – МСФЗ).</w:t>
            </w:r>
            <w:r>
              <w:rPr>
                <w:rFonts w:eastAsia="Times New Roman"/>
                <w:color w:val="000000"/>
                <w:sz w:val="20"/>
                <w:szCs w:val="20"/>
              </w:rPr>
              <w:br/>
              <w:t>На нашу думку, фiнансова звiтнiсть що додається, вiдображає достовiрно в усiх суттєвих аспектах фiнансовий стан Товариства на 31 грудня 2017 року, його фiнансовi результати i грошовi потоки за рiк, що закiнчився зазначеною датою, вiдповiдно до МСФЗ.</w:t>
            </w:r>
            <w:r>
              <w:rPr>
                <w:rFonts w:eastAsia="Times New Roman"/>
                <w:color w:val="000000"/>
                <w:sz w:val="20"/>
                <w:szCs w:val="20"/>
              </w:rPr>
              <w:br/>
              <w:t>Основа для думки</w:t>
            </w:r>
            <w:r>
              <w:rPr>
                <w:rFonts w:eastAsia="Times New Roman"/>
                <w:color w:val="000000"/>
                <w:sz w:val="20"/>
                <w:szCs w:val="20"/>
              </w:rPr>
              <w:br/>
              <w:t xml:space="preserve">Ми провели аудит вiдповiдно до Мiжнародних стандартiв аудиту (МСА). Нашу вiдповiдальнiсть згiдно з цими стандартами викладено в роздiлi «Вiдповiдальнiсть аудитора за аудит фiнансової звiтностi» нашого звiту. Ми є незалежними по вiдношенню до Товариства згiдно з Кодексом етики професiйних </w:t>
            </w:r>
            <w:proofErr w:type="gramStart"/>
            <w:r>
              <w:rPr>
                <w:rFonts w:eastAsia="Times New Roman"/>
                <w:color w:val="000000"/>
                <w:sz w:val="20"/>
                <w:szCs w:val="20"/>
              </w:rPr>
              <w:t>бухгалтерiв Ради</w:t>
            </w:r>
            <w:proofErr w:type="gramEnd"/>
            <w:r>
              <w:rPr>
                <w:rFonts w:eastAsia="Times New Roman"/>
                <w:color w:val="000000"/>
                <w:sz w:val="20"/>
                <w:szCs w:val="20"/>
              </w:rPr>
              <w:t xml:space="preserve"> з Мiжнародних стандартiв етики для бухгалтерiв (Кодекс РМСЕБ) та етичними вимогами, застосовними до нашого аудиту фiнансової звiтностi, а також виконали iншi обов’язки з етики вiдповiдно до цих вимог та Кодексу РМСЕБ. Ми вважаємо, що отриманi нами аудиторськi докази є достатнiми i прийнятними для використання їх як основи для нашої думки.</w:t>
            </w:r>
            <w:r>
              <w:rPr>
                <w:rFonts w:eastAsia="Times New Roman"/>
                <w:color w:val="000000"/>
                <w:sz w:val="20"/>
                <w:szCs w:val="20"/>
              </w:rPr>
              <w:br/>
              <w:t>Ключовi питання</w:t>
            </w:r>
            <w:r>
              <w:rPr>
                <w:rFonts w:eastAsia="Times New Roman"/>
                <w:color w:val="000000"/>
                <w:sz w:val="20"/>
                <w:szCs w:val="20"/>
              </w:rPr>
              <w:br/>
              <w:t>Ключовi питання аудиту – це питання, якi на наше професiйне судження, були найбiльш значущими пiд час нашого аудиту фiнансової звiтностi Товариства за 2017 рiк. Цi питання розглядались у контекстi нашого аудиту фiнансової звiтностi в цiлому та враховувались при формуваннi думки щодо неї, при цьому ми не висловлюємо окремої думки щодо цих питань.</w:t>
            </w:r>
            <w:r>
              <w:rPr>
                <w:rFonts w:eastAsia="Times New Roman"/>
                <w:color w:val="000000"/>
                <w:sz w:val="20"/>
                <w:szCs w:val="20"/>
              </w:rPr>
              <w:br/>
            </w:r>
            <w:r>
              <w:rPr>
                <w:rFonts w:eastAsia="Times New Roman"/>
                <w:color w:val="000000"/>
                <w:sz w:val="20"/>
                <w:szCs w:val="20"/>
              </w:rPr>
              <w:br/>
              <w:t>Оцiнка нематерiальних активiв</w:t>
            </w:r>
            <w:r>
              <w:rPr>
                <w:rFonts w:eastAsia="Times New Roman"/>
                <w:color w:val="000000"/>
                <w:sz w:val="20"/>
                <w:szCs w:val="20"/>
              </w:rPr>
              <w:br/>
              <w:t xml:space="preserve">Товариство визнає вiдповiдно до МСБО 38 "Нематерiальнi активи" нематерiальним активом з визначеним строком використання право строкового використання земельних дiлянок (договори оренди) для проведення статутної </w:t>
            </w:r>
            <w:r>
              <w:rPr>
                <w:rFonts w:eastAsia="Times New Roman"/>
                <w:color w:val="000000"/>
                <w:sz w:val="20"/>
                <w:szCs w:val="20"/>
              </w:rPr>
              <w:lastRenderedPageBreak/>
              <w:t>дiяльностi та будiвництва, експлуатацiї, обслуговування лiнiй електропередачi. Пiд час оцiнки вартостi майбутнiх орендних платежiв зробленi суттєвi припущення щодо оцiнки майбутнього впливу iнфляцiї та ставки дисконтування для визначення теперiшньої вартостi майбутнiх платежiв. Вартiсть визнання нематерiального активу, визначена за вартiстю майбутнiх орендних платежiв i складає 3,5% валюти балансу. Внаслiдок цього така оцiнка була важливою для нашого аудиту. Нашi аудиторськi процедури включали, окрiм всього iншого, тестування заходiв внутрiшнього контролю управлiнського персоналу щодо розробки та застосування моделi оцiнки, та пiдтвердження, що управлiнський персонал вiрно визначив вiдсутнiсть необхiдностi будь-яких коригувань даних, використаних в якостi припущень. Розкриття Товариства щодо нематерiальних активiв наведено в Примiтцi 4, де пiдкреслюється, що незначнi змiни в використаних ключових припущеннях може викликати зменшення вартостi нематерiального активу в майбутньому.</w:t>
            </w:r>
            <w:r>
              <w:rPr>
                <w:rFonts w:eastAsia="Times New Roman"/>
                <w:color w:val="000000"/>
                <w:sz w:val="20"/>
                <w:szCs w:val="20"/>
              </w:rPr>
              <w:br/>
              <w:t>Вiдповiдальнiсть управлiнського персоналу та Наглядової ради Товариства за фiнансову звiтнiсть</w:t>
            </w:r>
            <w:r>
              <w:rPr>
                <w:rFonts w:eastAsia="Times New Roman"/>
                <w:color w:val="000000"/>
                <w:sz w:val="20"/>
                <w:szCs w:val="20"/>
              </w:rPr>
              <w:br/>
              <w:t>Управлiнський персонал Товариства несе вiдповiдальнiсть за складання фiнансової звiтностi згiдно з МСФЗ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w:t>
            </w:r>
            <w:r>
              <w:rPr>
                <w:rFonts w:eastAsia="Times New Roman"/>
                <w:color w:val="000000"/>
                <w:sz w:val="20"/>
                <w:szCs w:val="20"/>
              </w:rPr>
              <w:br/>
              <w:t>При складаннi фiнансової звiтностi управлiнський персонал несе вiдповiдальнiсть за оцiнку здатностi Товариства продовжувати свою дiяльнiсть на безперервнiй основi, розкриваючи, де це застосовно, питання, що стосуються безперервностi дiяльностi, та використовуючи припущення про безперервнiсть дiяльностi як основи для бухгалтерського облiку.</w:t>
            </w:r>
            <w:r>
              <w:rPr>
                <w:rFonts w:eastAsia="Times New Roman"/>
                <w:color w:val="000000"/>
                <w:sz w:val="20"/>
                <w:szCs w:val="20"/>
              </w:rPr>
              <w:br/>
              <w:t>Наглядова рада Товариства несе вiдповiдальнiсть за нагляд за процесом фiнансового звiтування Товариства.</w:t>
            </w:r>
            <w:r>
              <w:rPr>
                <w:rFonts w:eastAsia="Times New Roman"/>
                <w:color w:val="000000"/>
                <w:sz w:val="20"/>
                <w:szCs w:val="20"/>
              </w:rPr>
              <w:br/>
              <w:t>Вiдповiдальнiсть аудитора за аудит фiнансової звiтностi</w:t>
            </w:r>
            <w:r>
              <w:rPr>
                <w:rFonts w:eastAsia="Times New Roman"/>
                <w:color w:val="000000"/>
                <w:sz w:val="20"/>
                <w:szCs w:val="20"/>
              </w:rPr>
              <w:br/>
              <w:t xml:space="preserve">Нашими цiлями є отримання обґрунтованої впевненостi, що фiнансова звiтнiсть у цiлому не мiстить суттєвого викривлення внаслiдок шахрайства або помилки, та випуск звiту аудитора, що мiстить нашу думку. Обґрунтована впевненiсть є високим рiвнем впевненостi, проте не гарантує, що аудит, проведений вiдповiдно до МСА, завжди виявить суттєве викривлення, якщо воно iснує. Викривлення можуть бути результатом шахрайства або помилки; вони вважаються суттєвими, якщо окремо або в сукупностi, як обґрунтовано очiкується, вони можуть впливати на економiчнi рiшення користувачiв, що приймаються на основi цiєї фiнансової звiтностi. </w:t>
            </w:r>
            <w:r>
              <w:rPr>
                <w:rFonts w:eastAsia="Times New Roman"/>
                <w:color w:val="000000"/>
                <w:sz w:val="20"/>
                <w:szCs w:val="20"/>
              </w:rPr>
              <w:br/>
              <w:t>Виконуючи аудит вiдповiдно до вимог МСА, ми використовуємо професiйне судження та професiйний скептицизм протягом усього завдання з аудиту. Крiм того, ми:</w:t>
            </w:r>
            <w:r>
              <w:rPr>
                <w:rFonts w:eastAsia="Times New Roman"/>
                <w:color w:val="000000"/>
                <w:sz w:val="20"/>
                <w:szCs w:val="20"/>
              </w:rPr>
              <w:br/>
              <w:t>• iдентифiкуємо та оцiнюємо ризики суттєвого викривлення фiнансової звiтностi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w:t>
            </w:r>
            <w:r>
              <w:rPr>
                <w:rFonts w:eastAsia="Times New Roman"/>
                <w:color w:val="000000"/>
                <w:sz w:val="20"/>
                <w:szCs w:val="20"/>
              </w:rPr>
              <w:br/>
              <w:t>• 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 ;</w:t>
            </w:r>
            <w:r>
              <w:rPr>
                <w:rFonts w:eastAsia="Times New Roman"/>
                <w:color w:val="000000"/>
                <w:sz w:val="20"/>
                <w:szCs w:val="20"/>
              </w:rPr>
              <w:br/>
              <w:t>• оцiнюємо прийнятнiсть застосованих облiкових полiтик та обґрунтованiсть облiкових оцiнок i вiдповiдних розкриттiв iнформацiї, зроблених управлiнським персоналом;</w:t>
            </w:r>
            <w:r>
              <w:rPr>
                <w:rFonts w:eastAsia="Times New Roman"/>
                <w:color w:val="000000"/>
                <w:sz w:val="20"/>
                <w:szCs w:val="20"/>
              </w:rPr>
              <w:br/>
              <w:t>• 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якi поставили б пiд значний сумнiв можливiсть Палати продовжити безперервну дiяльнiсть. Якщо ми доходимо висновку щодо iснування такої суттєвої невизначеностi, ми повиннi привернути увагу в своєму звiтi аудитора до вiдповiдних розкриттiв iнформацiї у фiнансовiй звiтностi або, якщо такi розкриття iнформацiї є неналежними, модифiкувати свою думку. Нашi висновки ґрунтуються на аудиторських доказах, отриманих до дати нашого звiту аудитора. Втiм майбутнi подiї або умови можуть примусити Товариство припинити свою дiяльнiсть на безперервнiй основi.</w:t>
            </w:r>
            <w:r>
              <w:rPr>
                <w:rFonts w:eastAsia="Times New Roman"/>
                <w:color w:val="000000"/>
                <w:sz w:val="20"/>
                <w:szCs w:val="20"/>
              </w:rPr>
              <w:br/>
              <w:t xml:space="preserve">• оцiнюємо загальне подання, структуру та змiст фiнансової звiтностi включно з розкриттями iнформацiї, а також те, чи показує фiнансова звiтнiсть операцiї та подiї, що покладенi в основу її складання, так, щоб досягти достовiрного вiдображення. </w:t>
            </w:r>
            <w:r>
              <w:rPr>
                <w:rFonts w:eastAsia="Times New Roman"/>
                <w:color w:val="000000"/>
                <w:sz w:val="20"/>
                <w:szCs w:val="20"/>
              </w:rPr>
              <w:br/>
              <w:t>Ми повiдомляємо Наглядовiй радi Товариства iнформацiю про запланований обсяг i час проведення аудиту та суттєвi аудиторськi результати, включаючи будь-якi суттєвi недолiки заходiв внутрiшнього контролю, виявленi нами пiд час аудиту.</w:t>
            </w:r>
            <w:r>
              <w:rPr>
                <w:rFonts w:eastAsia="Times New Roman"/>
                <w:color w:val="000000"/>
                <w:sz w:val="20"/>
                <w:szCs w:val="20"/>
              </w:rPr>
              <w:br/>
              <w:t>Ми також надаємо Наглядовiй радi Товариства, твердження, що ми виконали вiдповiднi етичнi вимоги щодо незалежностi, та повiдомляємо їм про всi стосунки й iншi питання, якi могли б обґрунтовано вважатись такими, що впливають на нашу незалежнiсть, а також, де це застосовно, щодо вiдповiдних застережних заходiв.</w:t>
            </w:r>
            <w:r>
              <w:rPr>
                <w:rFonts w:eastAsia="Times New Roman"/>
                <w:color w:val="000000"/>
                <w:sz w:val="20"/>
                <w:szCs w:val="20"/>
              </w:rPr>
              <w:br/>
              <w:t>З перелiку всiх питань, iнформацiя щодо яких надавалась Наглядовiй радi, ми визначили тi, що мали найбiльше значення пiд час аудиту фiнансової звiтностi поточного перiоду, тобто тi, якi є ключовими.</w:t>
            </w:r>
            <w:r>
              <w:rPr>
                <w:rFonts w:eastAsia="Times New Roman"/>
                <w:color w:val="000000"/>
                <w:sz w:val="20"/>
                <w:szCs w:val="20"/>
              </w:rPr>
              <w:br/>
              <w:t>Партнером з завдання, що вiдповiдав за аудит, результатом якого є цей звiт незалежного аудитора, є Олександр Школьний, сертифiкований аудитор України.</w:t>
            </w:r>
            <w:r>
              <w:rPr>
                <w:rFonts w:eastAsia="Times New Roman"/>
                <w:color w:val="000000"/>
                <w:sz w:val="20"/>
                <w:szCs w:val="20"/>
              </w:rPr>
              <w:br/>
            </w:r>
            <w:r>
              <w:rPr>
                <w:rFonts w:eastAsia="Times New Roman"/>
                <w:color w:val="000000"/>
                <w:sz w:val="20"/>
                <w:szCs w:val="20"/>
              </w:rPr>
              <w:br/>
              <w:t>м. Новоднiстровськ</w:t>
            </w:r>
            <w:r>
              <w:rPr>
                <w:rFonts w:eastAsia="Times New Roman"/>
                <w:color w:val="000000"/>
                <w:sz w:val="20"/>
                <w:szCs w:val="20"/>
              </w:rPr>
              <w:br/>
              <w:t>23 лютого 2018 року</w:t>
            </w:r>
            <w:r>
              <w:rPr>
                <w:rFonts w:eastAsia="Times New Roman"/>
                <w:color w:val="000000"/>
                <w:sz w:val="20"/>
                <w:szCs w:val="20"/>
              </w:rPr>
              <w:br/>
            </w:r>
            <w:r>
              <w:rPr>
                <w:rFonts w:eastAsia="Times New Roman"/>
                <w:color w:val="000000"/>
                <w:sz w:val="20"/>
                <w:szCs w:val="20"/>
              </w:rPr>
              <w:lastRenderedPageBreak/>
              <w:br/>
              <w:t>Генеральний директор</w:t>
            </w:r>
            <w:r>
              <w:rPr>
                <w:rFonts w:eastAsia="Times New Roman"/>
                <w:color w:val="000000"/>
                <w:sz w:val="20"/>
                <w:szCs w:val="20"/>
              </w:rPr>
              <w:br/>
              <w:t>Сертифiкат аудитора</w:t>
            </w:r>
            <w:r>
              <w:rPr>
                <w:rFonts w:eastAsia="Times New Roman"/>
                <w:color w:val="000000"/>
                <w:sz w:val="20"/>
                <w:szCs w:val="20"/>
              </w:rPr>
              <w:br/>
              <w:t>серiї А №001261 вiд 28.04.1994 Н.I.Гаєвська</w:t>
            </w:r>
            <w:r>
              <w:rPr>
                <w:rFonts w:eastAsia="Times New Roman"/>
                <w:color w:val="000000"/>
                <w:sz w:val="20"/>
                <w:szCs w:val="20"/>
              </w:rPr>
              <w:br/>
            </w:r>
            <w:r>
              <w:rPr>
                <w:rFonts w:eastAsia="Times New Roman"/>
                <w:color w:val="000000"/>
                <w:sz w:val="20"/>
                <w:szCs w:val="20"/>
              </w:rPr>
              <w:br/>
              <w:t>Головний аудитор</w:t>
            </w:r>
            <w:r>
              <w:rPr>
                <w:rFonts w:eastAsia="Times New Roman"/>
                <w:color w:val="000000"/>
                <w:sz w:val="20"/>
                <w:szCs w:val="20"/>
              </w:rPr>
              <w:br/>
              <w:t>Сертифiкат аудитора</w:t>
            </w:r>
            <w:r>
              <w:rPr>
                <w:rFonts w:eastAsia="Times New Roman"/>
                <w:color w:val="000000"/>
                <w:sz w:val="20"/>
                <w:szCs w:val="20"/>
              </w:rPr>
              <w:br/>
              <w:t>№ 007239 вiд 24.12.2014 О.В.Школьний</w:t>
            </w:r>
            <w:r>
              <w:rPr>
                <w:rFonts w:eastAsia="Times New Roman"/>
                <w:color w:val="000000"/>
                <w:sz w:val="20"/>
                <w:szCs w:val="20"/>
              </w:rPr>
              <w:br/>
              <w:t>Товариство з обмеженою вiдповiдальнiстю «Мiжнародна аудиторська група», (код за ЄДРПОУ 23510442) здiйснює свою дiяльнiсть на пiдставi Свiдоцтва про внесення до Реєстру суб’єктiв аудиторської дiяльностi України, виданого Аудиторською палатою України 26 сiчня 2001 року №2170, термiн дiї Свiдоцтва до 26 листопада 2020 року.</w:t>
            </w:r>
            <w:r>
              <w:rPr>
                <w:rFonts w:eastAsia="Times New Roman"/>
                <w:color w:val="000000"/>
                <w:sz w:val="20"/>
                <w:szCs w:val="20"/>
              </w:rPr>
              <w:br/>
              <w:t>Юридична адреса: Україна, 03037, м. Київ, вул. Червонопартизанська, 14-В, кв. 35.</w:t>
            </w:r>
            <w:r>
              <w:rPr>
                <w:rFonts w:eastAsia="Times New Roman"/>
                <w:color w:val="000000"/>
                <w:sz w:val="20"/>
                <w:szCs w:val="20"/>
              </w:rPr>
              <w:br/>
              <w:t xml:space="preserve">Фактична адреса: Україна, 03150, м. Київ, вул. Предславинська, буд. 43/2. </w:t>
            </w:r>
            <w:r>
              <w:rPr>
                <w:rFonts w:eastAsia="Times New Roman"/>
                <w:color w:val="000000"/>
                <w:sz w:val="20"/>
                <w:szCs w:val="20"/>
              </w:rPr>
              <w:br/>
              <w:t>тел./факс: (044) 284-10-90 (91-93), e-mail: iag@iag.com.ua</w:t>
            </w:r>
          </w:p>
        </w:tc>
      </w:tr>
      <w:tr w:rsidR="00DB387B">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lastRenderedPageBreak/>
              <w:t>CТИСЛИЙ ВИКЛАД СУТТЄВИХ ОБЛIКОВИХ ПОЛIТИК ТА IНШI ПОЯСНЮВАЛЬНI ПРИМIТКИ</w:t>
            </w:r>
            <w:r>
              <w:rPr>
                <w:rFonts w:eastAsia="Times New Roman"/>
                <w:color w:val="000000"/>
                <w:sz w:val="20"/>
                <w:szCs w:val="20"/>
              </w:rPr>
              <w:br/>
              <w:t>1. Загальна iнформацiя</w:t>
            </w:r>
            <w:r>
              <w:rPr>
                <w:rFonts w:eastAsia="Times New Roman"/>
                <w:color w:val="000000"/>
                <w:sz w:val="20"/>
                <w:szCs w:val="20"/>
              </w:rPr>
              <w:br/>
              <w:t xml:space="preserve">Приватне акцiонерне товариство «НИЖНЬОДНIСТРОВСЬКА ГЕС» – пiдприємство електроенергетичної галузi на пiвденно-заходi України. </w:t>
            </w:r>
            <w:r>
              <w:rPr>
                <w:rFonts w:eastAsia="Times New Roman"/>
                <w:color w:val="000000"/>
                <w:sz w:val="20"/>
                <w:szCs w:val="20"/>
              </w:rPr>
              <w:br/>
              <w:t>Приватне акцiонерне товариство «НИЖНЬОДНIСТРОВСЬКА ГЕС» (далi - Товариство) зареєстроване 26 березня 1999 роцi, є правонаступником всiх прав та зобов’язань Вiдкритого акцiонерного товариства «Днiстровська ГАЕС», створеного вiдповiдно до Постанови Кабiнету Мiнiстрiв України «Про створення вiдкритого акцiонерного товариства «Днiстровська гiдроакумулююча електрична станцiя» вiд 15 травня 1998 року №674 та Установчого договору «Про створення та дiяльнiсть на територiї України вiдкритого акцiонерного товариства «Днiстровська ГАЕС» вiд 17 серпня 1998 року.</w:t>
            </w:r>
            <w:r>
              <w:rPr>
                <w:rFonts w:eastAsia="Times New Roman"/>
                <w:color w:val="000000"/>
                <w:sz w:val="20"/>
                <w:szCs w:val="20"/>
              </w:rPr>
              <w:br/>
              <w:t>Основною господарською дiяльнiстю Товариства є виробництво i постачання електричної енергiї за нерегульованим тарифом, надання в оренду й експлуатацiю власного чи орендованого нерухомого майна.</w:t>
            </w:r>
            <w:r>
              <w:rPr>
                <w:rFonts w:eastAsia="Times New Roman"/>
                <w:color w:val="000000"/>
                <w:sz w:val="20"/>
                <w:szCs w:val="20"/>
              </w:rPr>
              <w:br/>
              <w:t>Станом на 31 грудня 2017 року кiлькiсть штатних працiвникiв Товариства становила 134 особи (31 грудня 2016 року: 142 особи).</w:t>
            </w:r>
            <w:r>
              <w:rPr>
                <w:rFonts w:eastAsia="Times New Roman"/>
                <w:color w:val="000000"/>
                <w:sz w:val="20"/>
                <w:szCs w:val="20"/>
              </w:rPr>
              <w:br/>
              <w:t xml:space="preserve">Юридична адреса Товариства: 60236, Україна, м. Новоднiстровськ, Чернiвецька обл.. </w:t>
            </w:r>
            <w:r>
              <w:rPr>
                <w:rFonts w:eastAsia="Times New Roman"/>
                <w:color w:val="000000"/>
                <w:sz w:val="20"/>
                <w:szCs w:val="20"/>
              </w:rPr>
              <w:br/>
              <w:t>Умови функцiонування та економiчна ситуацiя</w:t>
            </w:r>
            <w:r>
              <w:rPr>
                <w:rFonts w:eastAsia="Times New Roman"/>
                <w:color w:val="000000"/>
                <w:sz w:val="20"/>
                <w:szCs w:val="20"/>
              </w:rPr>
              <w:br/>
              <w:t>Товариство здiйснює дiяльнiсть, що пiдлягає державному лiцензуванню. Тарифи, за якими Товариство продає електричну енергiю не регулюються державою, проте в операцiях постачання електроенергiї постачальникам для подальшого її продажу за регульованими державою тарифами, тарифи Товариства обмежуються встановленою державою прогнозованою оптовою ринковою цiною. На рiшення про розмiр та впровадження тарифiв суттєво впливають соцiально-полiтичнi фактори.</w:t>
            </w:r>
            <w:r>
              <w:rPr>
                <w:rFonts w:eastAsia="Times New Roman"/>
                <w:color w:val="000000"/>
                <w:sz w:val="20"/>
                <w:szCs w:val="20"/>
              </w:rPr>
              <w:br/>
              <w:t xml:space="preserve">Економiка України, що виходить iз затяжної кризи, демонструє слабке зростання в умовах триваючої iнфляцiї. </w:t>
            </w:r>
            <w:r>
              <w:rPr>
                <w:rFonts w:eastAsia="Times New Roman"/>
                <w:color w:val="000000"/>
                <w:sz w:val="20"/>
                <w:szCs w:val="20"/>
              </w:rPr>
              <w:br/>
              <w:t>Економiка України в 2017 роцi не продовжила очiкувану тенденцiю вiдновлення пiсля позитивного перелому в 2016 роцi, разом з пiдвищенням мiнiмальної заробiтної плати, рiвень iнфляцiя збiльшився до 13,7% з 12,4% в 2016 роцi. При цьому середньорiчний курс гривнi не виходив за рамки дiапазону 27-28,5 грн/дол.</w:t>
            </w:r>
            <w:r>
              <w:rPr>
                <w:rFonts w:eastAsia="Times New Roman"/>
                <w:color w:val="000000"/>
                <w:sz w:val="20"/>
                <w:szCs w:val="20"/>
              </w:rPr>
              <w:br/>
              <w:t xml:space="preserve">В 2017 роцi Україна перебувала в процесi реформування i вiдбивала зовнiшню агресiю i тому не продемонструвала великих темпiв зростання, Протягом року системнi ризики для українського фiнансового сектору знизилися, макроекономiчне середовище, як зовнiшнє, так i внутрiшнє, стало сприятливiшим. </w:t>
            </w:r>
            <w:r>
              <w:rPr>
                <w:rFonts w:eastAsia="Times New Roman"/>
                <w:color w:val="000000"/>
                <w:sz w:val="20"/>
                <w:szCs w:val="20"/>
              </w:rPr>
              <w:br/>
              <w:t>Для залучення iнвестицiй i стимулювання бiзнесу Нацiональний банк в 2017 роцi продовжив активно згортати введенi в 2014 роцi валютнi обмеження i пом’якшувати монетарну полiтику. Цi кроки стали можливими, завдяки стабiлiзацiї курсу гривнi. За рiк нацiональна валюта подешевшала з 27,19 грн/дол. до 28,06 грн/дол., але валютнi скачки вже не викликають панiку у населення. У критичних ситуацiях НБУ виходить на мiжбанк з iнтервенцiями i не дає опуститися курсу нижче допустимого регулятором рiвня.</w:t>
            </w:r>
            <w:r>
              <w:rPr>
                <w:rFonts w:eastAsia="Times New Roman"/>
                <w:color w:val="000000"/>
                <w:sz w:val="20"/>
                <w:szCs w:val="20"/>
              </w:rPr>
              <w:br/>
              <w:t>Проте ще рано говорити про стабiлiзацiю i зростання економiки України. Як i ранiше Крим, автономна республiка у складi України, фактично анексована Росiйською Федерацiєю. Україна продовжує страждати в результатi розгортання сепаратиських рухiв i розвалу системи правопорядку в Луганськiй та Донецькiй областях.</w:t>
            </w:r>
            <w:r>
              <w:rPr>
                <w:rFonts w:eastAsia="Times New Roman"/>
                <w:color w:val="000000"/>
                <w:sz w:val="20"/>
                <w:szCs w:val="20"/>
              </w:rPr>
              <w:br/>
              <w:t>Економiка України все ще залежить вiд зовнiшнього фiнансування. Стабiлiзацiя економiчної ситуацiї залежить, великою мiрою, вiд успiху зусиль українського уряду, при цьому подальший розвиток економiчної та полiтичної ситуацiї на разi неможливо передбачити.</w:t>
            </w:r>
            <w:r>
              <w:rPr>
                <w:rFonts w:eastAsia="Times New Roman"/>
                <w:color w:val="000000"/>
                <w:sz w:val="20"/>
                <w:szCs w:val="20"/>
              </w:rPr>
              <w:br/>
              <w:t>2. Основа складання фiнансової звiтностi</w:t>
            </w:r>
            <w:r>
              <w:rPr>
                <w:rFonts w:eastAsia="Times New Roman"/>
                <w:color w:val="000000"/>
                <w:sz w:val="20"/>
                <w:szCs w:val="20"/>
              </w:rPr>
              <w:br/>
              <w:t>Фiнансова звiтнiсть Товариства складена вiдповiдно до Мiжнародних стандартiв фiнансової звiтностi («МСФЗ»), якi мають вiдношення до складання такої фiнансової звiтностi, у редакцiї, розмiщенiй на офiцiйному сайтi Мiнiстерства фiнансiв України, (далi - МСФЗ).</w:t>
            </w:r>
            <w:r>
              <w:rPr>
                <w:rFonts w:eastAsia="Times New Roman"/>
                <w:color w:val="000000"/>
                <w:sz w:val="20"/>
                <w:szCs w:val="20"/>
              </w:rPr>
              <w:br/>
              <w:t>Ця фiнансова звiтнiсть була складена за принципом оцiнки за iсторичною вартiстю. Станом на 1 сiчня 2012 року, на дату першого застосування МСФЗ. Товариство використало в якостi умовної iсторичної вартостi основних засобiв вартiсть згiдно нацiональних Положень (стандартiв) фiнансової звiтностi (далi - П(С)БО) на цю дату. Фiнансова звiтнiсть представлена в українських гривнях, а всi суми округленi до цiлих тисяч, якщо не зазначено iнше.</w:t>
            </w:r>
            <w:r>
              <w:rPr>
                <w:rFonts w:eastAsia="Times New Roman"/>
                <w:color w:val="000000"/>
                <w:sz w:val="20"/>
                <w:szCs w:val="20"/>
              </w:rPr>
              <w:br/>
              <w:t>Безперервнiсть дiяльностi</w:t>
            </w:r>
            <w:r>
              <w:rPr>
                <w:rFonts w:eastAsia="Times New Roman"/>
                <w:color w:val="000000"/>
                <w:sz w:val="20"/>
                <w:szCs w:val="20"/>
              </w:rPr>
              <w:br/>
              <w:t xml:space="preserve">Ця фiнансова звiтнiсть пiдготовлена на основi припущень про безперервну дiяльнiсть Товариства. Ця фiнансова </w:t>
            </w:r>
            <w:r>
              <w:rPr>
                <w:rFonts w:eastAsia="Times New Roman"/>
                <w:color w:val="000000"/>
                <w:sz w:val="20"/>
                <w:szCs w:val="20"/>
              </w:rPr>
              <w:lastRenderedPageBreak/>
              <w:t>звiтнiсть не мiстить будь-яких коригувань, якi стосуються можливостi вiдшкодування та класифiкацiї вiдображення сум активiв або сум та класифiкацiї зобов’язань, якi могли б знадобиться, якби Товариство було не здатне продовжувати свою дiяльнiсть на безперервнiй основi.</w:t>
            </w:r>
            <w:r>
              <w:rPr>
                <w:rFonts w:eastAsia="Times New Roman"/>
                <w:color w:val="000000"/>
                <w:sz w:val="20"/>
                <w:szCs w:val="20"/>
              </w:rPr>
              <w:br/>
              <w:t>Застосування нових та переглянутих Мiжнародних стандартiв фiнансової звiтностi.</w:t>
            </w:r>
            <w:r>
              <w:rPr>
                <w:rFonts w:eastAsia="Times New Roman"/>
                <w:color w:val="000000"/>
                <w:sz w:val="20"/>
                <w:szCs w:val="20"/>
              </w:rPr>
              <w:br/>
              <w:t>Новi i переглянутi МСФЗ у фiнансовiй звiтностi.</w:t>
            </w:r>
            <w:r>
              <w:rPr>
                <w:rFonts w:eastAsia="Times New Roman"/>
                <w:color w:val="000000"/>
                <w:sz w:val="20"/>
                <w:szCs w:val="20"/>
              </w:rPr>
              <w:br/>
              <w:t>Товариство прийняло до застосування такi новi i переглянутi стандарти i тлумачення, а також поправки до них, випущенi РМСБО, якi набули обов’язкової чинностi для облiкових перiодiв, якi почали дiяти на або пiсля 1 сiчня 2017 року.</w:t>
            </w:r>
            <w:r>
              <w:rPr>
                <w:rFonts w:eastAsia="Times New Roman"/>
                <w:color w:val="000000"/>
                <w:sz w:val="20"/>
                <w:szCs w:val="20"/>
              </w:rPr>
              <w:br/>
              <w:t>Стандарти/тлумачення Набули чинностi щодо рiчних облiкових перiодiв, якi починаються з або пiсля</w:t>
            </w:r>
            <w:r>
              <w:rPr>
                <w:rFonts w:eastAsia="Times New Roman"/>
                <w:color w:val="000000"/>
                <w:sz w:val="20"/>
                <w:szCs w:val="20"/>
              </w:rPr>
              <w:br/>
              <w:t xml:space="preserve">Поправки до МСБО 12 „Податки на прибуток” – Визнання вiдстрочених податкових активiв щодо нереалiзованих збиткiв 1 сiчня 2017 року </w:t>
            </w:r>
            <w:r>
              <w:rPr>
                <w:rFonts w:eastAsia="Times New Roman"/>
                <w:color w:val="000000"/>
                <w:sz w:val="20"/>
                <w:szCs w:val="20"/>
              </w:rPr>
              <w:br/>
              <w:t xml:space="preserve">Поправки до МСБО 7 „Звiт про рух грошових коштiв” – Iнiцiатива щодо розкриття iнформацiї 1 сiчня 2017 року </w:t>
            </w:r>
            <w:r>
              <w:rPr>
                <w:rFonts w:eastAsia="Times New Roman"/>
                <w:color w:val="000000"/>
                <w:sz w:val="20"/>
                <w:szCs w:val="20"/>
              </w:rPr>
              <w:br/>
              <w:t>Новi i переглянутi МСФЗ випущенi, але якi ще не набули чинностi. На дату затвердження цiєї фiнансової звiтностi такi новi та переглянутi МСФЗ i тлумачення, а також поправки до них були випущенi, але не набули чинностi:</w:t>
            </w:r>
            <w:r>
              <w:rPr>
                <w:rFonts w:eastAsia="Times New Roman"/>
                <w:color w:val="000000"/>
                <w:sz w:val="20"/>
                <w:szCs w:val="20"/>
              </w:rPr>
              <w:br/>
              <w:t>Стандарти i тлумачення Набувають чинностi щодо рiчних облiкових перiодiв, якi починаються з або пiсля</w:t>
            </w:r>
            <w:r>
              <w:rPr>
                <w:rFonts w:eastAsia="Times New Roman"/>
                <w:color w:val="000000"/>
                <w:sz w:val="20"/>
                <w:szCs w:val="20"/>
              </w:rPr>
              <w:br/>
            </w:r>
            <w:r>
              <w:rPr>
                <w:rFonts w:eastAsia="Times New Roman"/>
                <w:color w:val="000000"/>
                <w:sz w:val="20"/>
                <w:szCs w:val="20"/>
              </w:rPr>
              <w:br/>
              <w:t xml:space="preserve">МСФЗ 9 «Фiнансовi iнструменти» – замiнює собою МСБО 39 «Фiнансовi iнструменти: визнання та оцiнка» 1 сiчня 2018 року </w:t>
            </w:r>
            <w:r>
              <w:rPr>
                <w:rFonts w:eastAsia="Times New Roman"/>
                <w:color w:val="000000"/>
                <w:sz w:val="20"/>
                <w:szCs w:val="20"/>
              </w:rPr>
              <w:br/>
              <w:t xml:space="preserve">МСФЗ 15 «Дохiд вiд договорiв з клiєнтами» 1 сiчня 2018 року </w:t>
            </w:r>
            <w:r>
              <w:rPr>
                <w:rFonts w:eastAsia="Times New Roman"/>
                <w:color w:val="000000"/>
                <w:sz w:val="20"/>
                <w:szCs w:val="20"/>
              </w:rPr>
              <w:br/>
              <w:t>Наразi керiвництво Товариства здiйснює оцiнку впливу застосування цих поправок до стандартiв на майбутню фiнансову звiтнiсть Товариства.</w:t>
            </w:r>
          </w:p>
        </w:tc>
      </w:tr>
      <w:tr w:rsidR="00DB387B">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lastRenderedPageBreak/>
              <w:t>3. Основнi принципи облiкової полiтики</w:t>
            </w:r>
            <w:r>
              <w:rPr>
                <w:rFonts w:eastAsia="Times New Roman"/>
                <w:color w:val="000000"/>
                <w:sz w:val="20"/>
                <w:szCs w:val="20"/>
              </w:rPr>
              <w:br/>
              <w:t>Заява про вiдповiднiсть – Ця фiнансова звiтнiсть була пiдготовлена у вiдповiдностi до МСФЗ.</w:t>
            </w:r>
            <w:r>
              <w:rPr>
                <w:rFonts w:eastAsia="Times New Roman"/>
                <w:color w:val="000000"/>
                <w:sz w:val="20"/>
                <w:szCs w:val="20"/>
              </w:rPr>
              <w:br/>
              <w:t xml:space="preserve">Основа пiдготовки фiнансової звiтностi – Ця фiнансова звiтнiсть Товариства була пiдготовлена на основi принципу iсторичної вартостi. </w:t>
            </w:r>
            <w:r>
              <w:rPr>
                <w:rFonts w:eastAsia="Times New Roman"/>
                <w:color w:val="000000"/>
                <w:sz w:val="20"/>
                <w:szCs w:val="20"/>
              </w:rPr>
              <w:br/>
              <w:t>Iсторична вартiсть звичайно визначається при первiсному визнаннi на основi справедливої вартостi компенсацiї, сплаченої в обмiн на активи з урахуванням накопиченого зносу та знецiнення активiв, якщо таке застосовне. Оцiнка справедливої вартостi активiв для цiлей фiнансової звiтностi у наступних перiодах не здiйснюється.</w:t>
            </w:r>
            <w:r>
              <w:rPr>
                <w:rFonts w:eastAsia="Times New Roman"/>
                <w:color w:val="000000"/>
                <w:sz w:val="20"/>
                <w:szCs w:val="20"/>
              </w:rPr>
              <w:br/>
              <w:t>Визнання доходiв – Доходи вiд реалiзацiї оцiнюються за справедливою вартiстю компенсацiї отриманої або до отримання i являють собою суми до отримання за товари та послуги, наданi в ходi звичайної господарської дiяльностi, за вирахуванням очiкуваних сум дисконтiв, податку на додану вартiсть та акцизного збору.</w:t>
            </w:r>
            <w:r>
              <w:rPr>
                <w:rFonts w:eastAsia="Times New Roman"/>
                <w:color w:val="000000"/>
                <w:sz w:val="20"/>
                <w:szCs w:val="20"/>
              </w:rPr>
              <w:br/>
              <w:t>Реалiзацiя товарiв – Доходи вiд реалiзацiї товарiв визнаються за умови виконання усiх наведених нижче умов:</w:t>
            </w:r>
            <w:r>
              <w:rPr>
                <w:rFonts w:eastAsia="Times New Roman"/>
                <w:color w:val="000000"/>
                <w:sz w:val="20"/>
                <w:szCs w:val="20"/>
              </w:rPr>
              <w:br/>
              <w:t>• Товариство передало покупцю усi iстотнi ризики та вигоди, пов’язанi з володiнням товарами;</w:t>
            </w:r>
            <w:r>
              <w:rPr>
                <w:rFonts w:eastAsia="Times New Roman"/>
                <w:color w:val="000000"/>
                <w:sz w:val="20"/>
                <w:szCs w:val="20"/>
              </w:rPr>
              <w:br/>
              <w:t>• Товариство бiльше не бере участi в управлiннi у тiй мiрi, яка звичайно асоцiюється з правом володiння, та не здiйснює фактичного контролю над проданими товарами;</w:t>
            </w:r>
            <w:r>
              <w:rPr>
                <w:rFonts w:eastAsia="Times New Roman"/>
                <w:color w:val="000000"/>
                <w:sz w:val="20"/>
                <w:szCs w:val="20"/>
              </w:rPr>
              <w:br/>
              <w:t>• сума доходiв вiд реалiзацiї може бути достовiрно визначена;</w:t>
            </w:r>
            <w:r>
              <w:rPr>
                <w:rFonts w:eastAsia="Times New Roman"/>
                <w:color w:val="000000"/>
                <w:sz w:val="20"/>
                <w:szCs w:val="20"/>
              </w:rPr>
              <w:br/>
              <w:t xml:space="preserve">• iснує вiрогiднiсть, що економiчнi вигоди, пов’язанi з операцiєю, надiйдуть до Товариства; та </w:t>
            </w:r>
            <w:r>
              <w:rPr>
                <w:rFonts w:eastAsia="Times New Roman"/>
                <w:color w:val="000000"/>
                <w:sz w:val="20"/>
                <w:szCs w:val="20"/>
              </w:rPr>
              <w:br/>
              <w:t>• понесенi або очiкуванi витрати, пов’язанi з операцiєю, можуть бути достовiрно визначенi.</w:t>
            </w:r>
            <w:r>
              <w:rPr>
                <w:rFonts w:eastAsia="Times New Roman"/>
                <w:color w:val="000000"/>
                <w:sz w:val="20"/>
                <w:szCs w:val="20"/>
              </w:rPr>
              <w:br/>
              <w:t>Як правило доходи вiд реалiзацiї товарiв визнаються в перiодi їх поставки та передачi права власностi на них.</w:t>
            </w:r>
            <w:r>
              <w:rPr>
                <w:rFonts w:eastAsia="Times New Roman"/>
                <w:color w:val="000000"/>
                <w:sz w:val="20"/>
                <w:szCs w:val="20"/>
              </w:rPr>
              <w:br/>
              <w:t>Надання послуг – Виручка за договорами надання послуг визнається виходячи iз ступеню завершеностi. Ступiнь завершеностi процесу надання послуг за договорами визначається таким чином:</w:t>
            </w:r>
            <w:r>
              <w:rPr>
                <w:rFonts w:eastAsia="Times New Roman"/>
                <w:color w:val="000000"/>
                <w:sz w:val="20"/>
                <w:szCs w:val="20"/>
              </w:rPr>
              <w:br/>
              <w:t>• сума доходiв вiд реалiзацiї може бути достовiрно визначена;</w:t>
            </w:r>
            <w:r>
              <w:rPr>
                <w:rFonts w:eastAsia="Times New Roman"/>
                <w:color w:val="000000"/>
                <w:sz w:val="20"/>
                <w:szCs w:val="20"/>
              </w:rPr>
              <w:br/>
              <w:t>• iснує висока вiрогiднiсть отримання економiчних вигiд, пов’язаних з операцiєю;</w:t>
            </w:r>
            <w:r>
              <w:rPr>
                <w:rFonts w:eastAsia="Times New Roman"/>
                <w:color w:val="000000"/>
                <w:sz w:val="20"/>
                <w:szCs w:val="20"/>
              </w:rPr>
              <w:br/>
              <w:t>• етап завершеностi операцiї на кiнець звiтного перiоду можна достовiрно визначити; та</w:t>
            </w:r>
            <w:r>
              <w:rPr>
                <w:rFonts w:eastAsia="Times New Roman"/>
                <w:color w:val="000000"/>
                <w:sz w:val="20"/>
                <w:szCs w:val="20"/>
              </w:rPr>
              <w:br/>
              <w:t>• витрати, понесенi за операцiєю, та витрати на її завершення можна достовiрно оцiнити.</w:t>
            </w:r>
            <w:r>
              <w:rPr>
                <w:rFonts w:eastAsia="Times New Roman"/>
                <w:color w:val="000000"/>
                <w:sz w:val="20"/>
                <w:szCs w:val="20"/>
              </w:rPr>
              <w:br/>
              <w:t>Доходи з вiдсоткiв – Доходи з вiдсоткiв вiд фiнансового активу визнаються тодi, коли iснує вiрогiднiсть надходження економiчних вигiд для Товариства, i суму доходiв можна визначити достовiрно. Доходи з вiдсоткiв нараховуються на основi розподiлу за часом, з урахуванням основної суми заборгованостi та ефективної вiдсоткової ставки, яка застосовується, що являє собою ставку, яка точно дисконтує очiкуванi суми майбутнiх надходжень грошових коштiв протягом очiкуваного строку корисного використання фiнансового активу до чистої балансової вартостi даного активу при первiсному визнаннi.</w:t>
            </w:r>
            <w:r>
              <w:rPr>
                <w:rFonts w:eastAsia="Times New Roman"/>
                <w:color w:val="000000"/>
                <w:sz w:val="20"/>
                <w:szCs w:val="20"/>
              </w:rPr>
              <w:br/>
              <w:t>Функцiональна валюта та валюта подання – Функцiональною валютою та валютою подання даної фiнансової звiтностi Товариства є українська гривня. Операцiї у валютах, якi вiдрiзняються вiд функцiональної валюти Товариства, вважаються операцiями в iноземних валютах.</w:t>
            </w:r>
            <w:r>
              <w:rPr>
                <w:rFonts w:eastAsia="Times New Roman"/>
                <w:color w:val="000000"/>
                <w:sz w:val="20"/>
                <w:szCs w:val="20"/>
              </w:rPr>
              <w:br/>
              <w:t>Операцiї в iноземних валютах – Операцiї у валютах, якi вiдрiзняються вiд української гривнi, у перiодi не проводились.</w:t>
            </w:r>
            <w:r>
              <w:rPr>
                <w:rFonts w:eastAsia="Times New Roman"/>
                <w:color w:val="000000"/>
                <w:sz w:val="20"/>
                <w:szCs w:val="20"/>
              </w:rPr>
              <w:br/>
              <w:t>Iнвестицiйнi доходи – Доходи, заробленi за тимчасовою iнвестицiєю спецiальних позик, якi очiкують своїх витрат за квалiфiкованими активами, вираховуються iз суми витрат за позиками, якi пiдлягають капiталiзацiї.</w:t>
            </w:r>
            <w:r>
              <w:rPr>
                <w:rFonts w:eastAsia="Times New Roman"/>
                <w:color w:val="000000"/>
                <w:sz w:val="20"/>
                <w:szCs w:val="20"/>
              </w:rPr>
              <w:br/>
              <w:t>Усi iншi витрати за позиками визнаються у складi прибутку або збитку того перiоду, в якому вони були понесенi.</w:t>
            </w:r>
            <w:r>
              <w:rPr>
                <w:rFonts w:eastAsia="Times New Roman"/>
                <w:color w:val="000000"/>
                <w:sz w:val="20"/>
                <w:szCs w:val="20"/>
              </w:rPr>
              <w:br/>
              <w:t>Податок на прибуток – Витрати з податку на прибуток за рiк становлять суму поточного податку i вiдстроченого податку.</w:t>
            </w:r>
            <w:r>
              <w:rPr>
                <w:rFonts w:eastAsia="Times New Roman"/>
                <w:color w:val="000000"/>
                <w:sz w:val="20"/>
                <w:szCs w:val="20"/>
              </w:rPr>
              <w:br/>
              <w:t xml:space="preserve">Поточний податок – Податок, який пiдлягає сплатi у поточному перiодi, базується на оподатковуваному прибутку за рiк. Оподатковуваний прибуток вiдрiзняється вiд прибутку або збитку, вiдображеного у звiтi про сукупнi збитки, </w:t>
            </w:r>
            <w:r>
              <w:rPr>
                <w:rFonts w:eastAsia="Times New Roman"/>
                <w:color w:val="000000"/>
                <w:sz w:val="20"/>
                <w:szCs w:val="20"/>
              </w:rPr>
              <w:lastRenderedPageBreak/>
              <w:t>тому що в нього не включенi статтi доходiв або витрат, якi пiдлягають оподатковуванню або вiдносяться на витрати в цiлях оподаткування в iншi роки, а також тому що в нього не включаються статтi, якi нiколи не пiдлягають оподатковуванню або не вiдносяться на витрати в цiлях оподаткування. Зобов’язання Товариства з поточного податку на прибуток розраховується з використанням дiючих податкових ставок на звiтну дату.</w:t>
            </w:r>
            <w:r>
              <w:rPr>
                <w:rFonts w:eastAsia="Times New Roman"/>
                <w:color w:val="000000"/>
                <w:sz w:val="20"/>
                <w:szCs w:val="20"/>
              </w:rPr>
              <w:br/>
              <w:t>Вiдстрочений податок – Вiдстрочений податок визнається стосовно рiзниць мiж балансовою вартiстю активiв i зобов’язань у фiнансовiй звiтностi та вiдповiдними податковими базами, якi використовуються для розрахунку оподатковуваного прибутку. Вiдстроченi податковi зобов’язання зазвичай визнаються для всiх оподатковуваних тимчасових рiзниць, а вiдстроченi податковi активи зазвичай визнаються для всiх тимчасових рiзниць, якi вiдносяться на витрати в цiлях оподаткування, у тому обсязi, щодо якого iснує ймовiрнiсть того, що буде отриманий оподатковуваний прибуток, за рахунок якого можна буде реалiзувати цi тимчасовi рiзницi, якi вiдносять на витрати в цiлях оподаткування. Такi активи i зобов’язання не визнаються, якщо тимчасовi рiзницi виникають з гудвiла або у результатi первiсного визнання (крiм випадкiв об’єднання пiдприємств) iнших активiв i зобов’язань в рамках операцiї, яка не впливає нi на оподатковуваний прибуток, нi на облiковий прибуток.</w:t>
            </w:r>
            <w:r>
              <w:rPr>
                <w:rFonts w:eastAsia="Times New Roman"/>
                <w:color w:val="000000"/>
                <w:sz w:val="20"/>
                <w:szCs w:val="20"/>
              </w:rPr>
              <w:br/>
              <w:t>Балансова вартiсть вiдстрочених податкових активiв переглядається на кожну звiтну дату i зменшується у тiй мiрi, в якiй вiдсутня ймовiрнiсть одержання достатнього оподатковуваного прибутку, який дозволить вiдшкодувати всю або частину суми цього активу.</w:t>
            </w:r>
            <w:r>
              <w:rPr>
                <w:rFonts w:eastAsia="Times New Roman"/>
                <w:color w:val="000000"/>
                <w:sz w:val="20"/>
                <w:szCs w:val="20"/>
              </w:rPr>
              <w:br/>
              <w:t>Вiдстроченi податковi активи та зобов’язання оцiнюються за податковими ставками, якi, як очiкується, будуть застосовуватися у тому перiодi, в якому актив буде реалiзований або буде погашене зобов’язання, на основi дiючих або фактично дiючих податкових ставок (або податкових законiв) на звiтну дату. Оцiнка вiдстрочених податкових зобов’язань i активiв вiдображає податковi наслiдки, якi можуть виникнути у результатi використання Товариством на звiтну дату того або iншого методу для вiдшкодування або погашення балансової вартостi своїх активiв та зобов’язань.</w:t>
            </w:r>
            <w:r>
              <w:rPr>
                <w:rFonts w:eastAsia="Times New Roman"/>
                <w:color w:val="000000"/>
                <w:sz w:val="20"/>
                <w:szCs w:val="20"/>
              </w:rPr>
              <w:br/>
              <w:t xml:space="preserve">Вiдстроченi податковi активи та зобов’язання взаємно залiковуються, коли iснує юридично закрiплене право залiку поточних податкових активiв i поточних податкових зобов’язань, коли вони вiдносяться до податкiв на прибуток, якi стягуються одним i тим самим податковим органом, i Товариство має намiр зарахувати поточнi податковi активи та зобов’язання на нетто-основi. </w:t>
            </w:r>
            <w:r>
              <w:rPr>
                <w:rFonts w:eastAsia="Times New Roman"/>
                <w:color w:val="000000"/>
                <w:sz w:val="20"/>
                <w:szCs w:val="20"/>
              </w:rPr>
              <w:br/>
              <w:t>Поточний та вiдстрочений податки за перiод – Поточний та вiдстрочений податки визнаються у складi прибутку або збитку, за винятком випадкiв коли вони вiдносяться до статей, якi визнаються у складi iншого сукупного доходу або безпосередньо у складi власного капiталу. У цьому випадку поточний та вiдстрочений податки також визнаються у складi iншого сукупного доходу або безпосередньо у складi власного капiталу, вiдповiдно. У випадку коли поточний або вiдстрочений податки виникають у результатi первiсного облiку об’єднання бiзнесу, податковий вплив включається до облiку операцiй об’єднання бiзнесу.</w:t>
            </w:r>
            <w:r>
              <w:rPr>
                <w:rFonts w:eastAsia="Times New Roman"/>
                <w:color w:val="000000"/>
                <w:sz w:val="20"/>
                <w:szCs w:val="20"/>
              </w:rPr>
              <w:br/>
              <w:t>Основнi засоби – Основнi засоби вiдображаються за iсторичною вартiстю, за вирахуванням накопиченого зносу та накопичених збиткiв вiд зменшення корисностi. Iсторична вартiсть об’єкта основних засобiв включає: (а) цiну придбання, включно з iмпортними митами i податками, якi не вiдшкодовуються, за вирахуванням торгових та цiнових знижок; (б) будь-якi витрати, якi безпосередньо пов’язанi з доставкою об’єкта до мiсця розташування та приведення його у стан, необхiдний для експлуатацiї вiдповiдно до намiрiв керiвництва Товариства; (в) первiсну оцiнку витрат на демонтаж i видалення об’єкта основних засобiв та вiдновлення територiї, на якiй вiн розташований, зобов’язання за якими пiдприємство бере на себе або пiд час придбання даного об’єкта, або внаслiдок його експлуатацiї протягом певного перiоду часу з метою, яка вiдрiзняється вiд виробництва запасiв протягом цього перiоду. Вартiсть активiв, створених власними силами, включає первiсну вартiсть матерiалiв, прямi витрати на оплату працi та вiдповiдну частину виробничих накладних витрат.</w:t>
            </w:r>
            <w:r>
              <w:rPr>
                <w:rFonts w:eastAsia="Times New Roman"/>
                <w:color w:val="000000"/>
                <w:sz w:val="20"/>
                <w:szCs w:val="20"/>
              </w:rPr>
              <w:br/>
              <w:t>Iстотнi витрати на модернiзацiю та замiну частин активiв, якi збiльшують строк їхнього корисного використання або покращують їхню здатнiсть генерувати доходи, капiталiзуються у складi первiсної вартостi цих активiв. Витрати на ремонт та обслуговування основних засобiв, якi не вiдповiдають наведеним вище критерiям капiталiзацiї, включаються до складу прибутку або збитку того перiоду, в якому вони були понесенi.</w:t>
            </w:r>
            <w:r>
              <w:rPr>
                <w:rFonts w:eastAsia="Times New Roman"/>
                <w:color w:val="000000"/>
                <w:sz w:val="20"/>
                <w:szCs w:val="20"/>
              </w:rPr>
              <w:br/>
              <w:t>Сума, яка пiдлягає амортизацiї, становить первiсну вартiсть об’єкта основних засобiв, за вирахуванням його лiквiдацiйної вартостi. Лiквiдацiйна вартiсть активу – це очiкувана сума, яку Товариство одержало б на даний момент вiд реалiзацiї об’єкта основних засобiв пiсля вирахування очiкуваних витрат на вибуття, якби даний актив уже досяг того вiку й стану, у якому, як можна очiкувати, вiн буде перебувати наприкiнцi строку свого корисного використання.</w:t>
            </w:r>
            <w:r>
              <w:rPr>
                <w:rFonts w:eastAsia="Times New Roman"/>
                <w:color w:val="000000"/>
                <w:sz w:val="20"/>
                <w:szCs w:val="20"/>
              </w:rPr>
              <w:br/>
              <w:t>Амортизацiя основних засобiв призначена для списання суми, яка пiдлягає амортизацiї, протягом строку корисного використання вiдповiдного активу i розраховується з використанням прямолiнiйного методу. Очiкуванi строки корисного використання представленi таким чином (кiлькiсть рокiв):</w:t>
            </w:r>
            <w:r>
              <w:rPr>
                <w:rFonts w:eastAsia="Times New Roman"/>
                <w:color w:val="000000"/>
                <w:sz w:val="20"/>
                <w:szCs w:val="20"/>
              </w:rPr>
              <w:br/>
              <w:t>Будинки та споруди 20-70</w:t>
            </w:r>
            <w:r>
              <w:rPr>
                <w:rFonts w:eastAsia="Times New Roman"/>
                <w:color w:val="000000"/>
                <w:sz w:val="20"/>
                <w:szCs w:val="20"/>
              </w:rPr>
              <w:br/>
              <w:t>Передавальнi пристрої 15-35</w:t>
            </w:r>
            <w:r>
              <w:rPr>
                <w:rFonts w:eastAsia="Times New Roman"/>
                <w:color w:val="000000"/>
                <w:sz w:val="20"/>
                <w:szCs w:val="20"/>
              </w:rPr>
              <w:br/>
              <w:t>Силовi та робочi машини i обладнання 5-40</w:t>
            </w:r>
            <w:r>
              <w:rPr>
                <w:rFonts w:eastAsia="Times New Roman"/>
                <w:color w:val="000000"/>
                <w:sz w:val="20"/>
                <w:szCs w:val="20"/>
              </w:rPr>
              <w:br/>
              <w:t>Транспортнi засоби 5-14</w:t>
            </w:r>
            <w:r>
              <w:rPr>
                <w:rFonts w:eastAsia="Times New Roman"/>
                <w:color w:val="000000"/>
                <w:sz w:val="20"/>
                <w:szCs w:val="20"/>
              </w:rPr>
              <w:br/>
              <w:t>Iншi основнi засоби 1-15</w:t>
            </w:r>
            <w:r>
              <w:rPr>
                <w:rFonts w:eastAsia="Times New Roman"/>
                <w:color w:val="000000"/>
                <w:sz w:val="20"/>
                <w:szCs w:val="20"/>
              </w:rPr>
              <w:br/>
              <w:t>Земельнi дiлянки Не амортизуються</w:t>
            </w:r>
            <w:r>
              <w:rPr>
                <w:rFonts w:eastAsia="Times New Roman"/>
                <w:color w:val="000000"/>
                <w:sz w:val="20"/>
                <w:szCs w:val="20"/>
              </w:rPr>
              <w:br/>
            </w:r>
            <w:r>
              <w:rPr>
                <w:rFonts w:eastAsia="Times New Roman"/>
                <w:color w:val="000000"/>
                <w:sz w:val="20"/>
                <w:szCs w:val="20"/>
              </w:rPr>
              <w:br/>
              <w:t>Прибуток або збиток, який виникає у результатi вибуття або списання об’єкта основних засобiв, визначається як рiзниця мiж надходженнями вiд реалiзацiї та балансовою вартiстю активу i визнається у складi прибутку або збитку.</w:t>
            </w:r>
            <w:r>
              <w:rPr>
                <w:rFonts w:eastAsia="Times New Roman"/>
                <w:color w:val="000000"/>
                <w:sz w:val="20"/>
                <w:szCs w:val="20"/>
              </w:rPr>
              <w:br/>
            </w:r>
            <w:r>
              <w:rPr>
                <w:rFonts w:eastAsia="Times New Roman"/>
                <w:color w:val="000000"/>
                <w:sz w:val="20"/>
                <w:szCs w:val="20"/>
              </w:rPr>
              <w:lastRenderedPageBreak/>
              <w:t xml:space="preserve">Незавершене будiвництво включає витрати, безпосередньо пов’язанi з будiвництвом основних засобiв. Незавершене будiвництво не амортизується. Амортизацiя незавершеного будiвництва, на основi методу, який застосовується до iнших об’єктiв основних засобiв, починається з моменту готовностi даних активiв до експлуатацiї, тобто коли вони перебувають у тому мiсцi й станi, якi необхiднi, щоб їх можна було використовувати за призначенням, визначеним керiвництвом. </w:t>
            </w:r>
            <w:r>
              <w:rPr>
                <w:rFonts w:eastAsia="Times New Roman"/>
                <w:color w:val="000000"/>
                <w:sz w:val="20"/>
                <w:szCs w:val="20"/>
              </w:rPr>
              <w:br/>
              <w:t>Зменшення корисностi основних засобiв – На кожну звiтну дату Товариство переглядає балансову вартiсть своїх основних засобiв з метою визначення, чи iснують будь-якi свiдчення того, що такi активи зазнали збитку вiд зменшення корисностi. У разi наявностi таких свiдчень Товариство здiйснює оцiнку суми вiдшкодування вiдповiдного активу для визначення розмiру збитку вiд зменшення корисностi (якщо таке зменшення корисностi мало мiсце). Якщо неможливо здiйснити оцiнку суми вiдшкодування окремого активу, Товариство оцiнює суму вiдшкодування одиницi, яка генерує грошовi кошти, до якої належить цей актив. У випадках коли можна визначити обґрунтовану та послiдовну основу для розподiлу активiв, корпоративнi активи також розподiляються на окремi одиницi, якi генерують грошовi кошти, або, iнакше, вони розподiляються до найменшої групи одиниць, якi генерують грошовi кошти, для яких можна визначити обґрунтовану та послiдовну основу для розподiлу.</w:t>
            </w:r>
            <w:r>
              <w:rPr>
                <w:rFonts w:eastAsia="Times New Roman"/>
                <w:color w:val="000000"/>
                <w:sz w:val="20"/>
                <w:szCs w:val="20"/>
              </w:rPr>
              <w:br/>
              <w:t xml:space="preserve">Сума очiкуваного вiдшкодування являє собою бiльшу з величин: справедливої вартостi, за вирахуванням витрат </w:t>
            </w:r>
            <w:proofErr w:type="gramStart"/>
            <w:r>
              <w:rPr>
                <w:rFonts w:eastAsia="Times New Roman"/>
                <w:color w:val="000000"/>
                <w:sz w:val="20"/>
                <w:szCs w:val="20"/>
              </w:rPr>
              <w:t>на продаж</w:t>
            </w:r>
            <w:proofErr w:type="gramEnd"/>
            <w:r>
              <w:rPr>
                <w:rFonts w:eastAsia="Times New Roman"/>
                <w:color w:val="000000"/>
                <w:sz w:val="20"/>
                <w:szCs w:val="20"/>
              </w:rPr>
              <w:t>, та вартостi використання. При проведеннi оцiнки вартостi використання сума очiкуваних майбутнiх потокiв грошових коштiв дисконтується до їхньої теперiшньої вартостi з використанням ставки дисконтування до оподаткування, яка вiдображає поточнi ринковi оцiнки вартостi грошей у часi та ризики, характернi для активу, стосовно якого не були скоригованi оцiнки майбутнiх потокiв грошових коштiв.</w:t>
            </w:r>
            <w:r>
              <w:rPr>
                <w:rFonts w:eastAsia="Times New Roman"/>
                <w:color w:val="000000"/>
                <w:sz w:val="20"/>
                <w:szCs w:val="20"/>
              </w:rPr>
              <w:br/>
              <w:t>Якщо, за оцiнками, сума очiкуваного вiдшкодування активу (або одиницi, яка генерує грошовi кошти) менша за його балансову вартiсть, то балансова вартiсть активу (або одиницi, яка генерує грошовi кошти) зменшується до суми його очiкуваного вiдшкодування. Збитки вiд зменшення корисностi визнаються негайно у складi прибутку або збитку.</w:t>
            </w:r>
            <w:r>
              <w:rPr>
                <w:rFonts w:eastAsia="Times New Roman"/>
                <w:color w:val="000000"/>
                <w:sz w:val="20"/>
                <w:szCs w:val="20"/>
              </w:rPr>
              <w:br/>
              <w:t>У випадках коли збиток вiд зменшення корисностi у подальшому сторнується, балансова вартiсть активу (або одиницi, яка генерує грошовi кошти) збiльшується до переглянутої оцiнки його суми вiдшкодування, але таким чином, щоб збiльшена балансова вартiсть не перевищувала балансову вартiсть, яка була б визначена, якби для активу (або одиницi, яка генерує грошовi кошти) у попереднi роки не був визнаний збиток вiд зменшення корисностi. Сторнування збитку вiд зменшення корисностi визнається негайно у складi прибутку або збитку.</w:t>
            </w:r>
            <w:r>
              <w:rPr>
                <w:rFonts w:eastAsia="Times New Roman"/>
                <w:color w:val="000000"/>
                <w:sz w:val="20"/>
                <w:szCs w:val="20"/>
              </w:rPr>
              <w:br/>
              <w:t>Нематерiальнi активи – Нематерiальнi активи вiдображаються за первiсною вартiстю, за вирахуванням накопиченої амортизацiї та накопичених збиткiв вiд знецiнення. Подальшi витрати на нематерiальнi активи капiталiзуються тiльки у тому випадку, коли вони збiльшують майбутнi економiчнi вигоди, втiленi у конкретних активах, до яких вони вiдносяться. Усi iншi витрати вiдносяться на витрати у тому перiодi, в якому вони були понесенi.</w:t>
            </w:r>
            <w:r>
              <w:rPr>
                <w:rFonts w:eastAsia="Times New Roman"/>
                <w:color w:val="000000"/>
                <w:sz w:val="20"/>
                <w:szCs w:val="20"/>
              </w:rPr>
              <w:br/>
              <w:t>Амортизацiя визнається на прямолiнiйнiй основi протягом очiкуваного строку корисного використання нематерiальних активiв, який, як передбачається, не перевищує перiод у десять рокiв.</w:t>
            </w:r>
            <w:r>
              <w:rPr>
                <w:rFonts w:eastAsia="Times New Roman"/>
                <w:color w:val="000000"/>
                <w:sz w:val="20"/>
                <w:szCs w:val="20"/>
              </w:rPr>
              <w:br/>
              <w:t>Запаси – Запаси у фiнансовiй звiтностi вiдображаються за меншою з величин: первiсної вартостi та чистої вартостi реалiзацiї. Вартiсть запасiв, включно з вiдповiдною частиною фiксованих та змiнних накладних витрат, вiдносяться на собiвартiсть за методом ФIФО. Чиста вартiсть реалiзацiї визначається, виходячи з розрахункової цiни продажу запасiв, за вирахуванням усiх очiкуваних витрат на завершення виробництва та реалiзацiю.</w:t>
            </w:r>
            <w:r>
              <w:rPr>
                <w:rFonts w:eastAsia="Times New Roman"/>
                <w:color w:val="000000"/>
                <w:sz w:val="20"/>
                <w:szCs w:val="20"/>
              </w:rPr>
              <w:br/>
              <w:t>Забезпечення – Забезпечення визнаються, коли Товариство має поточне зобов’язання (юридичне або конструктивне) внаслiдок минулої подiї, i при цьому iснує ймовiрнiсть, що Товариство буде змушена погасити це зобов’язання, i можна зробити достовiрну оцiнку цього зобов’язання.</w:t>
            </w:r>
            <w:r>
              <w:rPr>
                <w:rFonts w:eastAsia="Times New Roman"/>
                <w:color w:val="000000"/>
                <w:sz w:val="20"/>
                <w:szCs w:val="20"/>
              </w:rPr>
              <w:br/>
              <w:t>Сума, визнана як забезпечення майбутнiх виплат, являє собою найкращу оцiнку компенсацiї, необхiдної для погашення поточного зобов’язання на звiтну дату, з урахуванням усiх ризикiв та невизначеностi, характерних для цього зобов’язання. У випадках коли сума резерву оцiнюється з використанням потокiв грошових коштiв, якi, як очiкується, будуть необхiднi для погашення поточних зобов’язань, його балансова вартiсть являє собою теперiшню вартiсть цих потокiв грошових коштiв.</w:t>
            </w:r>
            <w:r>
              <w:rPr>
                <w:rFonts w:eastAsia="Times New Roman"/>
                <w:color w:val="000000"/>
                <w:sz w:val="20"/>
                <w:szCs w:val="20"/>
              </w:rPr>
              <w:br/>
              <w:t>У випадках коли очiкується, що економiчнi вигоди, необхiднi для вiдновлення суми забезпечення, будуть вiдшкодованi третьою стороною, дебiторська заборгованiсть визнається як актив, якщо iснує достатня впевненiсть у тому, що таке вiдшкодування буде отримане, i сума майбутнього вiдшкодування може бути достовiрно визначена.</w:t>
            </w:r>
            <w:r>
              <w:rPr>
                <w:rFonts w:eastAsia="Times New Roman"/>
                <w:color w:val="000000"/>
                <w:sz w:val="20"/>
                <w:szCs w:val="20"/>
              </w:rPr>
              <w:br/>
              <w:t>Фiнансовi iнструменти – Товариство визнає фiнансовi активи та зобов’язання у своєму звiтi про фiнансовий стан, коли воно стає стороною у контрактних взаємовiдносинах щодо певного iнструмента. Звичайне придбання та продаж фiнансових активiв i зобов’язань визнається з використанням методу облiку на дату розрахункiв. Звичайне придбання фiнансових iнструментiв, якi у подальшому оцiнюватимуться за справедливою вартiстю мiж датою продажу та датою розрахунку, облiковується таким само способом, що й придбанi iнструменти.</w:t>
            </w:r>
            <w:r>
              <w:rPr>
                <w:rFonts w:eastAsia="Times New Roman"/>
                <w:color w:val="000000"/>
                <w:sz w:val="20"/>
                <w:szCs w:val="20"/>
              </w:rPr>
              <w:br/>
              <w:t>Фiнансовi активи та фiнансовi зобов’язання первiсно оцiнюються за справедливою вартiстю. Витрати на здiйснення операцiї, якi безпосередньо стосуються придбання або випуску фiнансових активiв та фiнансових зобов’язань (окрiм фiнансових активiв та фiнансових зобов’язань, якi вiдображаються за справедливою вартiстю, з вiдображенням переоцiнки через прибуток або збиток) додаються до або вираховуються зi справедливої вартостi фiнансових активiв або фiнансових зобов’язань, вiдповiдно, пiд час первiсного визнання. Витрати на здiйснення операцiї, якi безпосередньо стосуються придбання фiнансових активiв або фiнансових зобов’язань, якi вiдображаються за справедливою вартiстю, з вiдображенням переоцiнки через прибуток або збиток, визнаються негайно у складi прибутку або збитку.</w:t>
            </w:r>
            <w:r>
              <w:rPr>
                <w:rFonts w:eastAsia="Times New Roman"/>
                <w:color w:val="000000"/>
                <w:sz w:val="20"/>
                <w:szCs w:val="20"/>
              </w:rPr>
              <w:br/>
              <w:t xml:space="preserve">Фiнансовi активи та фiнансовi зобов’язання взаємно зараховуються, а чистi суми вiдображаються у звiтi про </w:t>
            </w:r>
            <w:r>
              <w:rPr>
                <w:rFonts w:eastAsia="Times New Roman"/>
                <w:color w:val="000000"/>
                <w:sz w:val="20"/>
                <w:szCs w:val="20"/>
              </w:rPr>
              <w:lastRenderedPageBreak/>
              <w:t>фiнансовий стан тiльки тодi, коли Товариство має юридично закрiплене право залiку визнаних сум та має намiр або погасити їх на нетто-основi, або одночасно реалiзувати актив i погасити зобов’язання.</w:t>
            </w:r>
            <w:r>
              <w:rPr>
                <w:rFonts w:eastAsia="Times New Roman"/>
                <w:color w:val="000000"/>
                <w:sz w:val="20"/>
                <w:szCs w:val="20"/>
              </w:rPr>
              <w:br/>
              <w:t>Метод ефективної ставки вiдсотка – Метод розрахунку амортизованої вартостi фiнансового активу (зобов’язання) та розподiлу доходiв (витрат) з вiдсоткiв протягом вiдповiдного перiоду. Ефективна вiдсоткова ставка – це ставка, яка точно дисконтує очiкуванi майбутнi надходження (виплати) грошових коштiв (у тому числi усi гонорари за договорами сплаченi або отриманi, якi становлять невiд’ємну частину ефективної ставки вiдсотка, витрати на здiйснення операцiї та iншi премiї або дисконти) протягом очiкуваного строку використання фiнансового активу (зобов’язання) або, коли доцiльно, коротшого перiоду.</w:t>
            </w:r>
            <w:r>
              <w:rPr>
                <w:rFonts w:eastAsia="Times New Roman"/>
                <w:color w:val="000000"/>
                <w:sz w:val="20"/>
                <w:szCs w:val="20"/>
              </w:rPr>
              <w:br/>
              <w:t>Фiнансовi активи – Фiнансовi активи класифiкуються на такi спецiальнi категорiї:</w:t>
            </w:r>
            <w:r>
              <w:rPr>
                <w:rFonts w:eastAsia="Times New Roman"/>
                <w:color w:val="000000"/>
                <w:sz w:val="20"/>
                <w:szCs w:val="20"/>
              </w:rPr>
              <w:br/>
              <w:t>• фiнансовi активи, що облiковуються за справедливою вартiстю, з визнанням переоцiнки через прибуток або збиток;</w:t>
            </w:r>
            <w:r>
              <w:rPr>
                <w:rFonts w:eastAsia="Times New Roman"/>
                <w:color w:val="000000"/>
                <w:sz w:val="20"/>
                <w:szCs w:val="20"/>
              </w:rPr>
              <w:br/>
              <w:t>• iнвестицiї, що утримуються до погашення;</w:t>
            </w:r>
            <w:r>
              <w:rPr>
                <w:rFonts w:eastAsia="Times New Roman"/>
                <w:color w:val="000000"/>
                <w:sz w:val="20"/>
                <w:szCs w:val="20"/>
              </w:rPr>
              <w:br/>
              <w:t xml:space="preserve">• фiнансовi активи, що утримуються для продажу; </w:t>
            </w:r>
            <w:r>
              <w:rPr>
                <w:rFonts w:eastAsia="Times New Roman"/>
                <w:color w:val="000000"/>
                <w:sz w:val="20"/>
                <w:szCs w:val="20"/>
              </w:rPr>
              <w:br/>
              <w:t xml:space="preserve">• дебiторська заборгованiсть. </w:t>
            </w:r>
            <w:r>
              <w:rPr>
                <w:rFonts w:eastAsia="Times New Roman"/>
                <w:color w:val="000000"/>
                <w:sz w:val="20"/>
                <w:szCs w:val="20"/>
              </w:rPr>
              <w:br/>
              <w:t>Класифiкацiя залежить вiд характеру та цiлей фiнансових активiв i визначається на момент їхнього первiсного визнання. Фiнансовi активи Товариства, в основному, представленi “дебiторською заборгованiстю”.</w:t>
            </w:r>
            <w:r>
              <w:rPr>
                <w:rFonts w:eastAsia="Times New Roman"/>
                <w:color w:val="000000"/>
                <w:sz w:val="20"/>
                <w:szCs w:val="20"/>
              </w:rPr>
              <w:br/>
              <w:t xml:space="preserve">Депозити та дебiторська заборгованiсть – є непохiдними фiнансовими активами iз фiксованими платежами або платежами, якi можна визначити, якi не мають котирування </w:t>
            </w:r>
            <w:proofErr w:type="gramStart"/>
            <w:r>
              <w:rPr>
                <w:rFonts w:eastAsia="Times New Roman"/>
                <w:color w:val="000000"/>
                <w:sz w:val="20"/>
                <w:szCs w:val="20"/>
              </w:rPr>
              <w:t>на активному ринку</w:t>
            </w:r>
            <w:proofErr w:type="gramEnd"/>
            <w:r>
              <w:rPr>
                <w:rFonts w:eastAsia="Times New Roman"/>
                <w:color w:val="000000"/>
                <w:sz w:val="20"/>
                <w:szCs w:val="20"/>
              </w:rPr>
              <w:t>. Депозити та дебiторська заборгованiсть (у тому числi торгова та iнша дебiторська заборгованiсть) оцiнюються за амортизованою вартiстю з використанням методу ефективної вiдсоткової ставки, за вирахуванням будь-якого збитку вiд зменшення корисностi.</w:t>
            </w:r>
            <w:r>
              <w:rPr>
                <w:rFonts w:eastAsia="Times New Roman"/>
                <w:color w:val="000000"/>
                <w:sz w:val="20"/>
                <w:szCs w:val="20"/>
              </w:rPr>
              <w:br/>
              <w:t>Доходи з вiдсоткiв визнаються iз застосуванням методу ефективної вiдсоткової ставки, за винятком короткострокової дебiторської заборгованостi, коли визнання вiдсоткiв не буде мати iстотного впливу.</w:t>
            </w:r>
            <w:r>
              <w:rPr>
                <w:rFonts w:eastAsia="Times New Roman"/>
                <w:color w:val="000000"/>
                <w:sz w:val="20"/>
                <w:szCs w:val="20"/>
              </w:rPr>
              <w:br/>
              <w:t>Грошовi кошти та їх еквiваленти – Грошовi кошти та їх еквiваленти включають грошовi кошти в касi, грошовi кошти на банкiвських рахунках, якi можна швидко конвертувати у готiвку, та депозити iз первiсним термiном погашення менше трьох мiсяцiв.</w:t>
            </w:r>
            <w:r>
              <w:rPr>
                <w:rFonts w:eastAsia="Times New Roman"/>
                <w:color w:val="000000"/>
                <w:sz w:val="20"/>
                <w:szCs w:val="20"/>
              </w:rPr>
              <w:br/>
              <w:t>Зменшення корисностi фiнансових активiв – Фiнансовi активи оцiнюються на наявнiсть ознак знецiнення на кожну звiтну дату. Фiнансовi активи вважаються знецiненими, коли iснують об’єктивнi свiдчення того, що у результатi однiєї або бiльше подiй, якi вiдбулися пiсля первiсного визнання фiнансового активу, очiкуваний майбутнiй рух грошових коштiв вiд даної iнвестицiї зазнав негативного впливу.</w:t>
            </w:r>
            <w:r>
              <w:rPr>
                <w:rFonts w:eastAsia="Times New Roman"/>
                <w:color w:val="000000"/>
                <w:sz w:val="20"/>
                <w:szCs w:val="20"/>
              </w:rPr>
              <w:br/>
              <w:t>Об’єктивнi свiдчення знецiнення можуть включати:</w:t>
            </w:r>
            <w:r>
              <w:rPr>
                <w:rFonts w:eastAsia="Times New Roman"/>
                <w:color w:val="000000"/>
                <w:sz w:val="20"/>
                <w:szCs w:val="20"/>
              </w:rPr>
              <w:br/>
              <w:t>• значнi фiнансовi труднощi контрагента; або</w:t>
            </w:r>
            <w:r>
              <w:rPr>
                <w:rFonts w:eastAsia="Times New Roman"/>
                <w:color w:val="000000"/>
                <w:sz w:val="20"/>
                <w:szCs w:val="20"/>
              </w:rPr>
              <w:br/>
              <w:t>• невиконання зобов’язань, або несплата у строк вiдсоткiв, або основної суми заборгованостi; або</w:t>
            </w:r>
            <w:r>
              <w:rPr>
                <w:rFonts w:eastAsia="Times New Roman"/>
                <w:color w:val="000000"/>
                <w:sz w:val="20"/>
                <w:szCs w:val="20"/>
              </w:rPr>
              <w:br/>
              <w:t>• коли стає вiрогiдним, що боржник збанкрутує або буде проводити фiнансову реорганiзацiю;</w:t>
            </w:r>
            <w:r>
              <w:rPr>
                <w:rFonts w:eastAsia="Times New Roman"/>
                <w:color w:val="000000"/>
                <w:sz w:val="20"/>
                <w:szCs w:val="20"/>
              </w:rPr>
              <w:br/>
              <w:t>• зникнення активного ринку для цього фiнансового активу через фiнансовi труднощi.</w:t>
            </w:r>
            <w:r>
              <w:rPr>
                <w:rFonts w:eastAsia="Times New Roman"/>
                <w:color w:val="000000"/>
                <w:sz w:val="20"/>
                <w:szCs w:val="20"/>
              </w:rPr>
              <w:br/>
              <w:t>Торгова дебiторська заборгованiсть оцiнюється на предмет зменшення корисностi на iндивiдуальнiй основi. Для торгової дебiторської заборгованостi балансова вартiсть зменшується через використання резерву на покриття збиткiв вiд сумнiвної заборгованостi. У тих випадках, коли торгова дебiторська заборгованiсть вважається безнадiйною, вона списується за рахунок резерву на покриття збиткiв вiд знецiнення. Подальше вiдшкодування ранiше списаних сум проводиться за рахунок резервiв. Змiна балансової вартостi резерву на покриття збиткiв вiд знецiнення визнається у складi прибутку або збитку.</w:t>
            </w:r>
            <w:r>
              <w:rPr>
                <w:rFonts w:eastAsia="Times New Roman"/>
                <w:color w:val="000000"/>
                <w:sz w:val="20"/>
                <w:szCs w:val="20"/>
              </w:rPr>
              <w:br/>
              <w:t>Якщо у подальшi перiоди сума збитку вiд знецiнення зменшується i таке зменшення можна об’єктивно вiднести до подiї, яка вiдбулася пiсля визнання знецiнення, то ранiше визнаний збиток вiд знецiнення сторнується за рахунок прибутку або збитку у тiй мiрi, в якiй балансова вартiсть iнвестицiї на дату сторнування знецiнення не перевищує вiрогiдну суму амортизованої вартостi, якби знецiнення не було визнане.</w:t>
            </w:r>
            <w:r>
              <w:rPr>
                <w:rFonts w:eastAsia="Times New Roman"/>
                <w:color w:val="000000"/>
                <w:sz w:val="20"/>
                <w:szCs w:val="20"/>
              </w:rPr>
              <w:br/>
              <w:t xml:space="preserve">Припинення визнання фiнансових активiв – Товариство припиняє визнавати фiнансовий актив лише в тих випадках, коли припиняють свою дiю договiрнi права на грошовi потоки вiд цього активу; або ж коли воно передає фiнансовий актив i всi iстотнi ризики й вигоди, пов’язанi з володiнням цим активом, третiй особi. </w:t>
            </w:r>
            <w:r>
              <w:rPr>
                <w:rFonts w:eastAsia="Times New Roman"/>
                <w:color w:val="000000"/>
                <w:sz w:val="20"/>
                <w:szCs w:val="20"/>
              </w:rPr>
              <w:br/>
              <w:t>Пiсля повного припинення визнання фiнансового активу, рiзниця мiж балансовою вартiстю активу та сумою отриманої компенсацiї та накопиченим прибутком або збитком, який був визнаний у складi iнших сукупних доходiв та накопичений у складi власного капiталу, визнається у складi прибутку або збитку.</w:t>
            </w:r>
            <w:r>
              <w:rPr>
                <w:rFonts w:eastAsia="Times New Roman"/>
                <w:color w:val="000000"/>
                <w:sz w:val="20"/>
                <w:szCs w:val="20"/>
              </w:rPr>
              <w:br/>
              <w:t>Фiнансовi зобов’язання та iнструменти власного капiталу, випущенi Товариством</w:t>
            </w:r>
            <w:r>
              <w:rPr>
                <w:rFonts w:eastAsia="Times New Roman"/>
                <w:color w:val="000000"/>
                <w:sz w:val="20"/>
                <w:szCs w:val="20"/>
              </w:rPr>
              <w:br/>
              <w:t xml:space="preserve">Класифiкацiя як боргу або iнструментiв власного капiталу – Борговi iнструменти та iнструменти власного капiталу класифiкуються або як фiнансовi зобов’язання, або як власний капiтал у залежностi вiд сутностi договiрних вiдносин та визначень фiнансового зобов’язання та iнструмента власного капiталу. </w:t>
            </w:r>
            <w:r>
              <w:rPr>
                <w:rFonts w:eastAsia="Times New Roman"/>
                <w:color w:val="000000"/>
                <w:sz w:val="20"/>
                <w:szCs w:val="20"/>
              </w:rPr>
              <w:br/>
              <w:t>Акцiонерний капiтал – Iнструмент власного капiталу представляє собою будь-який договiр, який дає право на залишкову частку в активах пiдприємства пiсля вирахування усiх його зобов’язань. Iнструменти власного капiталу, випущенi Товариством, вiдображаються за сумою отриманих надходжень, за вирахуванням прямих витрат на їхнiй випуск. Iнструменти власного капiталу визнанi за iсторичною вартiстю.</w:t>
            </w:r>
            <w:r>
              <w:rPr>
                <w:rFonts w:eastAsia="Times New Roman"/>
                <w:color w:val="000000"/>
                <w:sz w:val="20"/>
                <w:szCs w:val="20"/>
              </w:rPr>
              <w:br/>
              <w:t>Фiнансовi зобов’язання – Фiнансовi зобов’язання класифiкуються або як такi, що оцiнюються за справедливою вартiстю, з вiдображенням переоцiнки як прибутку або збитку, або як iншi фiнансовi зобов’язання.</w:t>
            </w:r>
            <w:r>
              <w:rPr>
                <w:rFonts w:eastAsia="Times New Roman"/>
                <w:color w:val="000000"/>
                <w:sz w:val="20"/>
                <w:szCs w:val="20"/>
              </w:rPr>
              <w:br/>
              <w:t>Iншi фiнансовi зобов’язання – Iншi фiнансовi зобов’язання, включаючи торгову кредиторську заборгованiсть, первiсно оцiнюються за справедливою вартiстю, за вирахуванням витрат на здiйснення операцiї. Iншi фiнансовi зобов’язання у подальшому оцiнюються за амортизованою вартiстю з використанням методу ефективної вiдсоткової ставки, причому вiдсотковi витрати визнаються на основi фактичної дохiдностi.</w:t>
            </w:r>
            <w:r>
              <w:rPr>
                <w:rFonts w:eastAsia="Times New Roman"/>
                <w:color w:val="000000"/>
                <w:sz w:val="20"/>
                <w:szCs w:val="20"/>
              </w:rPr>
              <w:br/>
            </w:r>
            <w:r>
              <w:rPr>
                <w:rFonts w:eastAsia="Times New Roman"/>
                <w:color w:val="000000"/>
                <w:sz w:val="20"/>
                <w:szCs w:val="20"/>
              </w:rPr>
              <w:lastRenderedPageBreak/>
              <w:t>Припинення визнання фiнансових зобов’язань – Товариство припиняє визнавати фiнансовi зобов’язання тодi i тiльки тодi, коли зобов’язання Товариства виконанi, анульованi або минув строк їхньої дiї. Пiсля повного припинення визнання фiнансового зобов’язання рiзниця мiж балансовою вартiстю фiнансового зобов’язання та сумою компенсацiї, яка була сплачена або пiдлягає сплатi, визнається у складi прибутку або збитку.</w:t>
            </w:r>
            <w:r>
              <w:rPr>
                <w:rFonts w:eastAsia="Times New Roman"/>
                <w:color w:val="000000"/>
                <w:sz w:val="20"/>
                <w:szCs w:val="20"/>
              </w:rPr>
              <w:br/>
              <w:t>Податковi зобов’язання – Податковi зобов’язання вiдображаються за номiнальною вартiстю.</w:t>
            </w:r>
            <w:r>
              <w:rPr>
                <w:rFonts w:eastAsia="Times New Roman"/>
                <w:color w:val="000000"/>
                <w:sz w:val="20"/>
                <w:szCs w:val="20"/>
              </w:rPr>
              <w:br/>
              <w:t>Пенсiйнi зобов’язання, допомога при виходi на пенсiю та iншi соцiальнi виплати – Вiдповiдно до колективної угоди Товариство здiйснює одноразовi виплати пiд час виходу на пенсiю працiвникiв, якi пропрацювали тривалий час та у випадку смертi працiвникiв.</w:t>
            </w:r>
            <w:r>
              <w:rPr>
                <w:rFonts w:eastAsia="Times New Roman"/>
                <w:color w:val="000000"/>
                <w:sz w:val="20"/>
                <w:szCs w:val="20"/>
              </w:rPr>
              <w:br/>
              <w:t>Чисте зобов’язання Товариства стосовно цих виплат не розраховується.</w:t>
            </w:r>
            <w:r>
              <w:rPr>
                <w:rFonts w:eastAsia="Times New Roman"/>
                <w:color w:val="000000"/>
                <w:sz w:val="20"/>
                <w:szCs w:val="20"/>
              </w:rPr>
              <w:br/>
              <w:t>Умовнi зобов’язання та активи – Умовнi зобов’язання не визнаються у фiнансовiй звiтностi. Вони розкриваються у примiтках до фiнансової звiтностi, окрiм випадкiв коли ймовiрнiсть вiдтоку ресурсiв, якi втiлюють економiчнi вигоди, є незначною.</w:t>
            </w:r>
            <w:r>
              <w:rPr>
                <w:rFonts w:eastAsia="Times New Roman"/>
                <w:color w:val="000000"/>
                <w:sz w:val="20"/>
                <w:szCs w:val="20"/>
              </w:rPr>
              <w:br/>
              <w:t>Умовнi активи не визнаються у фiнансовiй звiтностi, але розкриваються у примiтках, якщо iснує достатня ймовiрнiсть надходження економiчних вигод.</w:t>
            </w:r>
            <w:r>
              <w:rPr>
                <w:rFonts w:eastAsia="Times New Roman"/>
                <w:color w:val="000000"/>
                <w:sz w:val="20"/>
                <w:szCs w:val="20"/>
              </w:rPr>
              <w:br/>
              <w:t>4. Нематерiальнi активи (рядки фiнансового звiту “1000”, “1001”, “1002”,)</w:t>
            </w:r>
            <w:r>
              <w:rPr>
                <w:rFonts w:eastAsia="Times New Roman"/>
                <w:color w:val="000000"/>
                <w:sz w:val="20"/>
                <w:szCs w:val="20"/>
              </w:rPr>
              <w:br/>
              <w:t>Нематерiальнi активи представленi правом постiйного користування земельною дiлянкою, на яке не нараховується амортизацiя, та iншими нематерiальними активами.</w:t>
            </w:r>
            <w:r>
              <w:rPr>
                <w:rFonts w:eastAsia="Times New Roman"/>
                <w:color w:val="000000"/>
                <w:sz w:val="20"/>
                <w:szCs w:val="20"/>
              </w:rPr>
              <w:br/>
              <w:t>Товариство має право строкового використання земельних дiлянок (договори оренди) для проведення Товариством його статутної дiяльностi та будiвництва, експлуатацiї, обслуговування лiнiй електропередач. Вiдповiдно до МСБО 38 "Нематерiальнi активи" таке право може бути визнано нематерiальним активом з визначеним строком використання. Вартiсть визнання нематерiального активу, визначена за вартiстю майбутнiх орендних платежiв (зроблено припущення, що пiдвищення орендної плати за рахунок iнфляцiї компенсується зменшенням теперiшньої вартостi майбутнiх платежiв). Вартiсть майбутнiх орендних платежiв складає 5 622 тисячi гривень. Пiд час розрахунку вартостi цього нематерiального активу застосована ставка дисконтування суми майбутнiх платежiв на рiвнi 10%, що є суттєвим припущенням. Незначна змiна ставки дисконтування може суттєво вплинути на вартiсть активу.</w:t>
            </w:r>
            <w:r>
              <w:rPr>
                <w:rFonts w:eastAsia="Times New Roman"/>
                <w:color w:val="000000"/>
                <w:sz w:val="20"/>
                <w:szCs w:val="20"/>
              </w:rPr>
              <w:br/>
              <w:t>Рух нематерiальних активiв за 2017 рiк представлений таким чином:</w:t>
            </w:r>
            <w:r>
              <w:rPr>
                <w:rFonts w:eastAsia="Times New Roman"/>
                <w:color w:val="000000"/>
                <w:sz w:val="20"/>
                <w:szCs w:val="20"/>
              </w:rPr>
              <w:br/>
              <w:t>Найменування Всього</w:t>
            </w:r>
            <w:r>
              <w:rPr>
                <w:rFonts w:eastAsia="Times New Roman"/>
                <w:color w:val="000000"/>
                <w:sz w:val="20"/>
                <w:szCs w:val="20"/>
              </w:rPr>
              <w:br/>
              <w:t xml:space="preserve">Первiсна вартiсть </w:t>
            </w:r>
            <w:r>
              <w:rPr>
                <w:rFonts w:eastAsia="Times New Roman"/>
                <w:color w:val="000000"/>
                <w:sz w:val="20"/>
                <w:szCs w:val="20"/>
              </w:rPr>
              <w:br/>
              <w:t xml:space="preserve">Станом на 31 грудня 2016 року 6 101 </w:t>
            </w:r>
            <w:r>
              <w:rPr>
                <w:rFonts w:eastAsia="Times New Roman"/>
                <w:color w:val="000000"/>
                <w:sz w:val="20"/>
                <w:szCs w:val="20"/>
              </w:rPr>
              <w:br/>
              <w:t>Надходження (дооцiнка) 33</w:t>
            </w:r>
            <w:r>
              <w:rPr>
                <w:rFonts w:eastAsia="Times New Roman"/>
                <w:color w:val="000000"/>
                <w:sz w:val="20"/>
                <w:szCs w:val="20"/>
              </w:rPr>
              <w:br/>
              <w:t>Вибуття (5)</w:t>
            </w:r>
            <w:r>
              <w:rPr>
                <w:rFonts w:eastAsia="Times New Roman"/>
                <w:color w:val="000000"/>
                <w:sz w:val="20"/>
                <w:szCs w:val="20"/>
              </w:rPr>
              <w:br/>
              <w:t>Iншi змiни (17)</w:t>
            </w:r>
            <w:r>
              <w:rPr>
                <w:rFonts w:eastAsia="Times New Roman"/>
                <w:color w:val="000000"/>
                <w:sz w:val="20"/>
                <w:szCs w:val="20"/>
              </w:rPr>
              <w:br/>
              <w:t xml:space="preserve">Станом на 31 грудня 2017 року 6 112 </w:t>
            </w:r>
            <w:r>
              <w:rPr>
                <w:rFonts w:eastAsia="Times New Roman"/>
                <w:color w:val="000000"/>
                <w:sz w:val="20"/>
                <w:szCs w:val="20"/>
              </w:rPr>
              <w:br/>
            </w:r>
            <w:r>
              <w:rPr>
                <w:rFonts w:eastAsia="Times New Roman"/>
                <w:color w:val="000000"/>
                <w:sz w:val="20"/>
                <w:szCs w:val="20"/>
              </w:rPr>
              <w:br/>
              <w:t xml:space="preserve">Накопичена амортизацiя </w:t>
            </w:r>
            <w:r>
              <w:rPr>
                <w:rFonts w:eastAsia="Times New Roman"/>
                <w:color w:val="000000"/>
                <w:sz w:val="20"/>
                <w:szCs w:val="20"/>
              </w:rPr>
              <w:br/>
              <w:t>Станом на 31 грудня 2016 року (384)</w:t>
            </w:r>
            <w:r>
              <w:rPr>
                <w:rFonts w:eastAsia="Times New Roman"/>
                <w:color w:val="000000"/>
                <w:sz w:val="20"/>
                <w:szCs w:val="20"/>
              </w:rPr>
              <w:br/>
              <w:t>Вибуття 5</w:t>
            </w:r>
            <w:r>
              <w:rPr>
                <w:rFonts w:eastAsia="Times New Roman"/>
                <w:color w:val="000000"/>
                <w:sz w:val="20"/>
                <w:szCs w:val="20"/>
              </w:rPr>
              <w:br/>
              <w:t>Амортизацiйнi нарахування (39)</w:t>
            </w:r>
            <w:r>
              <w:rPr>
                <w:rFonts w:eastAsia="Times New Roman"/>
                <w:color w:val="000000"/>
                <w:sz w:val="20"/>
                <w:szCs w:val="20"/>
              </w:rPr>
              <w:br/>
              <w:t>Станом на 31 грудня 2017 року (418)</w:t>
            </w:r>
            <w:r>
              <w:rPr>
                <w:rFonts w:eastAsia="Times New Roman"/>
                <w:color w:val="000000"/>
                <w:sz w:val="20"/>
                <w:szCs w:val="20"/>
              </w:rPr>
              <w:br/>
            </w:r>
            <w:r>
              <w:rPr>
                <w:rFonts w:eastAsia="Times New Roman"/>
                <w:color w:val="000000"/>
                <w:sz w:val="20"/>
                <w:szCs w:val="20"/>
              </w:rPr>
              <w:br/>
              <w:t xml:space="preserve">Балансова вартiсть </w:t>
            </w:r>
            <w:r>
              <w:rPr>
                <w:rFonts w:eastAsia="Times New Roman"/>
                <w:color w:val="000000"/>
                <w:sz w:val="20"/>
                <w:szCs w:val="20"/>
              </w:rPr>
              <w:br/>
              <w:t xml:space="preserve">Станом на 31 грудня 2016 року 5 717 </w:t>
            </w:r>
            <w:r>
              <w:rPr>
                <w:rFonts w:eastAsia="Times New Roman"/>
                <w:color w:val="000000"/>
                <w:sz w:val="20"/>
                <w:szCs w:val="20"/>
              </w:rPr>
              <w:br/>
              <w:t>Станом на 31 грудня 2017 року 5 694</w:t>
            </w:r>
            <w:r>
              <w:rPr>
                <w:rFonts w:eastAsia="Times New Roman"/>
                <w:color w:val="000000"/>
                <w:sz w:val="20"/>
                <w:szCs w:val="20"/>
              </w:rPr>
              <w:br/>
              <w:t>5. Незавершенi капiтальнi iнвестицiї (рядок фiнансового звiту “1005”)</w:t>
            </w:r>
            <w:r>
              <w:rPr>
                <w:rFonts w:eastAsia="Times New Roman"/>
                <w:color w:val="000000"/>
                <w:sz w:val="20"/>
                <w:szCs w:val="20"/>
              </w:rPr>
              <w:br/>
              <w:t>Рух незавершених капiтальних iнвестицiй за 2017 рiк представлений таким чином:</w:t>
            </w:r>
            <w:r>
              <w:rPr>
                <w:rFonts w:eastAsia="Times New Roman"/>
                <w:color w:val="000000"/>
                <w:sz w:val="20"/>
                <w:szCs w:val="20"/>
              </w:rPr>
              <w:br/>
              <w:t>Незавершенi капiтальнi iнвестицiї</w:t>
            </w:r>
            <w:r>
              <w:rPr>
                <w:rFonts w:eastAsia="Times New Roman"/>
                <w:color w:val="000000"/>
                <w:sz w:val="20"/>
                <w:szCs w:val="20"/>
              </w:rPr>
              <w:br/>
            </w:r>
            <w:r>
              <w:rPr>
                <w:rFonts w:eastAsia="Times New Roman"/>
                <w:color w:val="000000"/>
                <w:sz w:val="20"/>
                <w:szCs w:val="20"/>
              </w:rPr>
              <w:br/>
              <w:t>Баланс на 31 грудня 2016 року 18 812</w:t>
            </w:r>
            <w:r>
              <w:rPr>
                <w:rFonts w:eastAsia="Times New Roman"/>
                <w:color w:val="000000"/>
                <w:sz w:val="20"/>
                <w:szCs w:val="20"/>
              </w:rPr>
              <w:br/>
              <w:t>Надходження 25 665</w:t>
            </w:r>
            <w:r>
              <w:rPr>
                <w:rFonts w:eastAsia="Times New Roman"/>
                <w:color w:val="000000"/>
                <w:sz w:val="20"/>
                <w:szCs w:val="20"/>
              </w:rPr>
              <w:br/>
              <w:t>Аванси на придбання основних засобiв 2 938</w:t>
            </w:r>
            <w:r>
              <w:rPr>
                <w:rFonts w:eastAsia="Times New Roman"/>
                <w:color w:val="000000"/>
                <w:sz w:val="20"/>
                <w:szCs w:val="20"/>
              </w:rPr>
              <w:br/>
              <w:t>Введення в експлуатацiю (3 062)</w:t>
            </w:r>
            <w:r>
              <w:rPr>
                <w:rFonts w:eastAsia="Times New Roman"/>
                <w:color w:val="000000"/>
                <w:sz w:val="20"/>
                <w:szCs w:val="20"/>
              </w:rPr>
              <w:br/>
              <w:t>Баланс на 31 грудня 2017 року 44 353</w:t>
            </w:r>
            <w:r>
              <w:rPr>
                <w:rFonts w:eastAsia="Times New Roman"/>
                <w:color w:val="000000"/>
                <w:sz w:val="20"/>
                <w:szCs w:val="20"/>
              </w:rPr>
              <w:br/>
              <w:t>Зменшення корисностi незавершених капiтальних iнвестицiй у 2017 роцi не iдентифiковано.</w:t>
            </w:r>
            <w:r>
              <w:rPr>
                <w:rFonts w:eastAsia="Times New Roman"/>
                <w:color w:val="000000"/>
                <w:sz w:val="20"/>
                <w:szCs w:val="20"/>
              </w:rPr>
              <w:br/>
              <w:t>6. Основнi засоби (рядки фiнансового звiту “1010”, “1011”, “1012”)</w:t>
            </w:r>
            <w:r>
              <w:rPr>
                <w:rFonts w:eastAsia="Times New Roman"/>
                <w:color w:val="000000"/>
                <w:sz w:val="20"/>
                <w:szCs w:val="20"/>
              </w:rPr>
              <w:br/>
              <w:t>Рух основних засобiв за 2017 рiк представлений таким чином:</w:t>
            </w:r>
            <w:r>
              <w:rPr>
                <w:rFonts w:eastAsia="Times New Roman"/>
                <w:color w:val="000000"/>
                <w:sz w:val="20"/>
                <w:szCs w:val="20"/>
              </w:rPr>
              <w:br/>
              <w:t>Будинки, споруди, передавальнi пристрої Силовi та робочi машини i обладнання Транспортнi засоби Iншi основнi засоби Всього</w:t>
            </w:r>
            <w:r>
              <w:rPr>
                <w:rFonts w:eastAsia="Times New Roman"/>
                <w:color w:val="000000"/>
                <w:sz w:val="20"/>
                <w:szCs w:val="20"/>
              </w:rPr>
              <w:br/>
              <w:t xml:space="preserve">Первiсна вартiсть </w:t>
            </w:r>
            <w:r>
              <w:rPr>
                <w:rFonts w:eastAsia="Times New Roman"/>
                <w:color w:val="000000"/>
                <w:sz w:val="20"/>
                <w:szCs w:val="20"/>
              </w:rPr>
              <w:br/>
              <w:t>Станом на 31 грудня 2016 року 125 787 40 652 3 894 10 645 180 978</w:t>
            </w:r>
            <w:r>
              <w:rPr>
                <w:rFonts w:eastAsia="Times New Roman"/>
                <w:color w:val="000000"/>
                <w:sz w:val="20"/>
                <w:szCs w:val="20"/>
              </w:rPr>
              <w:br/>
              <w:t>Надходження - 372 1 794 896 3 062</w:t>
            </w:r>
            <w:r>
              <w:rPr>
                <w:rFonts w:eastAsia="Times New Roman"/>
                <w:color w:val="000000"/>
                <w:sz w:val="20"/>
                <w:szCs w:val="20"/>
              </w:rPr>
              <w:br/>
              <w:t>Вибуття (100) (9) (-) (356) (465)</w:t>
            </w:r>
            <w:r>
              <w:rPr>
                <w:rFonts w:eastAsia="Times New Roman"/>
                <w:color w:val="000000"/>
                <w:sz w:val="20"/>
                <w:szCs w:val="20"/>
              </w:rPr>
              <w:br/>
              <w:t>Станом на 31 грудня 2017 року 125 687 41 015 5 688 11 185 183 575</w:t>
            </w:r>
            <w:r>
              <w:rPr>
                <w:rFonts w:eastAsia="Times New Roman"/>
                <w:color w:val="000000"/>
                <w:sz w:val="20"/>
                <w:szCs w:val="20"/>
              </w:rPr>
              <w:br/>
            </w:r>
            <w:r>
              <w:rPr>
                <w:rFonts w:eastAsia="Times New Roman"/>
                <w:color w:val="000000"/>
                <w:sz w:val="20"/>
                <w:szCs w:val="20"/>
              </w:rPr>
              <w:lastRenderedPageBreak/>
              <w:t xml:space="preserve">Накопичена амортизацiя </w:t>
            </w:r>
            <w:r>
              <w:rPr>
                <w:rFonts w:eastAsia="Times New Roman"/>
                <w:color w:val="000000"/>
                <w:sz w:val="20"/>
                <w:szCs w:val="20"/>
              </w:rPr>
              <w:br/>
              <w:t>Станом на 31 грудня 2016 року (78 476) (26 252) (1 741) (6 662) (113 131)</w:t>
            </w:r>
            <w:r>
              <w:rPr>
                <w:rFonts w:eastAsia="Times New Roman"/>
                <w:color w:val="000000"/>
                <w:sz w:val="20"/>
                <w:szCs w:val="20"/>
              </w:rPr>
              <w:br/>
              <w:t>Амортизацiйнi нарахування (7 166) (2 338) (420) (309) (10 233)</w:t>
            </w:r>
            <w:r>
              <w:rPr>
                <w:rFonts w:eastAsia="Times New Roman"/>
                <w:color w:val="000000"/>
                <w:sz w:val="20"/>
                <w:szCs w:val="20"/>
              </w:rPr>
              <w:br/>
              <w:t>Вибуття - - - - -</w:t>
            </w:r>
            <w:r>
              <w:rPr>
                <w:rFonts w:eastAsia="Times New Roman"/>
                <w:color w:val="000000"/>
                <w:sz w:val="20"/>
                <w:szCs w:val="20"/>
              </w:rPr>
              <w:br/>
              <w:t>Станом на 31 грудня 2017 року (85 722) (29 386) (2 154) (6 102) (123 364)</w:t>
            </w:r>
            <w:r>
              <w:rPr>
                <w:rFonts w:eastAsia="Times New Roman"/>
                <w:color w:val="000000"/>
                <w:sz w:val="20"/>
                <w:szCs w:val="20"/>
              </w:rPr>
              <w:br/>
              <w:t xml:space="preserve">Балансова вартiсть </w:t>
            </w:r>
            <w:r>
              <w:rPr>
                <w:rFonts w:eastAsia="Times New Roman"/>
                <w:color w:val="000000"/>
                <w:sz w:val="20"/>
                <w:szCs w:val="20"/>
              </w:rPr>
              <w:br/>
              <w:t>Станом на 31 грудня 2016 року 47 311 14 400 2 153 3 983 67 847</w:t>
            </w:r>
            <w:r>
              <w:rPr>
                <w:rFonts w:eastAsia="Times New Roman"/>
                <w:color w:val="000000"/>
                <w:sz w:val="20"/>
                <w:szCs w:val="20"/>
              </w:rPr>
              <w:br/>
              <w:t>Станом на 31 грудня 2017 року 40 052 12 361 3 587 4 211 60 211</w:t>
            </w:r>
            <w:r>
              <w:rPr>
                <w:rFonts w:eastAsia="Times New Roman"/>
                <w:color w:val="000000"/>
                <w:sz w:val="20"/>
                <w:szCs w:val="20"/>
              </w:rPr>
              <w:br/>
              <w:t>7. Запаси (рядок фiнансового звiту “1101”)</w:t>
            </w:r>
            <w:r>
              <w:rPr>
                <w:rFonts w:eastAsia="Times New Roman"/>
                <w:color w:val="000000"/>
                <w:sz w:val="20"/>
                <w:szCs w:val="20"/>
              </w:rPr>
              <w:br/>
              <w:t>Станом на 31 грудня 2017 року та 31 грудня 2016 року запаси були представленi таким чином:</w:t>
            </w:r>
            <w:r>
              <w:rPr>
                <w:rFonts w:eastAsia="Times New Roman"/>
                <w:color w:val="000000"/>
                <w:sz w:val="20"/>
                <w:szCs w:val="20"/>
              </w:rPr>
              <w:br/>
              <w:t>31 грудня 2017 року 31 грудня 2016 року</w:t>
            </w:r>
            <w:r>
              <w:rPr>
                <w:rFonts w:eastAsia="Times New Roman"/>
                <w:color w:val="000000"/>
                <w:sz w:val="20"/>
                <w:szCs w:val="20"/>
              </w:rPr>
              <w:br/>
            </w:r>
            <w:r>
              <w:rPr>
                <w:rFonts w:eastAsia="Times New Roman"/>
                <w:color w:val="000000"/>
                <w:sz w:val="20"/>
                <w:szCs w:val="20"/>
              </w:rPr>
              <w:br/>
              <w:t>Будiвельнi матерiали 912 919</w:t>
            </w:r>
            <w:r>
              <w:rPr>
                <w:rFonts w:eastAsia="Times New Roman"/>
                <w:color w:val="000000"/>
                <w:sz w:val="20"/>
                <w:szCs w:val="20"/>
              </w:rPr>
              <w:br/>
              <w:t>Сировина i матерiали 714 574</w:t>
            </w:r>
            <w:r>
              <w:rPr>
                <w:rFonts w:eastAsia="Times New Roman"/>
                <w:color w:val="000000"/>
                <w:sz w:val="20"/>
                <w:szCs w:val="20"/>
              </w:rPr>
              <w:br/>
              <w:t>Запаснi частини 221 217</w:t>
            </w:r>
            <w:r>
              <w:rPr>
                <w:rFonts w:eastAsia="Times New Roman"/>
                <w:color w:val="000000"/>
                <w:sz w:val="20"/>
                <w:szCs w:val="20"/>
              </w:rPr>
              <w:br/>
              <w:t>Паливо 255 291</w:t>
            </w:r>
            <w:r>
              <w:rPr>
                <w:rFonts w:eastAsia="Times New Roman"/>
                <w:color w:val="000000"/>
                <w:sz w:val="20"/>
                <w:szCs w:val="20"/>
              </w:rPr>
              <w:br/>
              <w:t>Малоцiннi та швидкозношуванi предмети 387 286</w:t>
            </w:r>
            <w:r>
              <w:rPr>
                <w:rFonts w:eastAsia="Times New Roman"/>
                <w:color w:val="000000"/>
                <w:sz w:val="20"/>
                <w:szCs w:val="20"/>
              </w:rPr>
              <w:br/>
              <w:t>Всього 2 489 2 287</w:t>
            </w:r>
            <w:r>
              <w:rPr>
                <w:rFonts w:eastAsia="Times New Roman"/>
                <w:color w:val="000000"/>
                <w:sz w:val="20"/>
                <w:szCs w:val="20"/>
              </w:rPr>
              <w:br/>
              <w:t>8. Дебiторська заборгованiсть за продукцiю, товари, роботи, послуги (рядок звiту про фiнансовий стан “1125”)</w:t>
            </w:r>
            <w:r>
              <w:rPr>
                <w:rFonts w:eastAsia="Times New Roman"/>
                <w:color w:val="000000"/>
                <w:sz w:val="20"/>
                <w:szCs w:val="20"/>
              </w:rPr>
              <w:br/>
              <w:t>Станом на 31 грудня 2017 року та 31 грудня 2016 року дебiторська заборгованiсть за товари, роботи, послуги була представлена таким чином:</w:t>
            </w:r>
            <w:r>
              <w:rPr>
                <w:rFonts w:eastAsia="Times New Roman"/>
                <w:color w:val="000000"/>
                <w:sz w:val="20"/>
                <w:szCs w:val="20"/>
              </w:rPr>
              <w:br/>
              <w:t>31 грудня 2017 року 31 грудня 2016 року</w:t>
            </w:r>
            <w:r>
              <w:rPr>
                <w:rFonts w:eastAsia="Times New Roman"/>
                <w:color w:val="000000"/>
                <w:sz w:val="20"/>
                <w:szCs w:val="20"/>
              </w:rPr>
              <w:br/>
            </w:r>
            <w:r>
              <w:rPr>
                <w:rFonts w:eastAsia="Times New Roman"/>
                <w:color w:val="000000"/>
                <w:sz w:val="20"/>
                <w:szCs w:val="20"/>
              </w:rPr>
              <w:br/>
              <w:t>Дебiторська заборгованiсть за товари, роботи, послуги 60 331 57 250</w:t>
            </w:r>
            <w:r>
              <w:rPr>
                <w:rFonts w:eastAsia="Times New Roman"/>
                <w:color w:val="000000"/>
                <w:sz w:val="20"/>
                <w:szCs w:val="20"/>
              </w:rPr>
              <w:br/>
              <w:t>Резерв сумнiвних боргiв (29 586) (18 503)</w:t>
            </w:r>
            <w:r>
              <w:rPr>
                <w:rFonts w:eastAsia="Times New Roman"/>
                <w:color w:val="000000"/>
                <w:sz w:val="20"/>
                <w:szCs w:val="20"/>
              </w:rPr>
              <w:br/>
            </w:r>
            <w:r>
              <w:rPr>
                <w:rFonts w:eastAsia="Times New Roman"/>
                <w:color w:val="000000"/>
                <w:sz w:val="20"/>
                <w:szCs w:val="20"/>
              </w:rPr>
              <w:br/>
              <w:t>Всього 30 745 38 747</w:t>
            </w:r>
            <w:r>
              <w:rPr>
                <w:rFonts w:eastAsia="Times New Roman"/>
                <w:color w:val="000000"/>
                <w:sz w:val="20"/>
                <w:szCs w:val="20"/>
              </w:rPr>
              <w:br/>
              <w:t>Для клiєнтiв не передбачений кредитний перiод. На дебiторську заборгованiсть за товари, роботи, послуги, прострочену бiльше, нiж 12 мiсяцiв вiд дня погашення за договором, формується iндивiдуальний резерв, який регулярно переоцiнюється на основi фактiв та обставин, якi iснують станом на кожну звiтну дату.</w:t>
            </w:r>
            <w:r>
              <w:rPr>
                <w:rFonts w:eastAsia="Times New Roman"/>
                <w:color w:val="000000"/>
                <w:sz w:val="20"/>
                <w:szCs w:val="20"/>
              </w:rPr>
              <w:br/>
              <w:t>Iнформацiя про рух резерву на покриття збиткiв вiд знецiнення торгової дебiторської заборгованостi представлена таким чином:</w:t>
            </w:r>
            <w:r>
              <w:rPr>
                <w:rFonts w:eastAsia="Times New Roman"/>
                <w:color w:val="000000"/>
                <w:sz w:val="20"/>
                <w:szCs w:val="20"/>
              </w:rPr>
              <w:br/>
              <w:t>31 грудня 2017 року 31 грудня 2016 року</w:t>
            </w:r>
            <w:r>
              <w:rPr>
                <w:rFonts w:eastAsia="Times New Roman"/>
                <w:color w:val="000000"/>
                <w:sz w:val="20"/>
                <w:szCs w:val="20"/>
              </w:rPr>
              <w:br/>
            </w:r>
            <w:r>
              <w:rPr>
                <w:rFonts w:eastAsia="Times New Roman"/>
                <w:color w:val="000000"/>
                <w:sz w:val="20"/>
                <w:szCs w:val="20"/>
              </w:rPr>
              <w:br/>
              <w:t>Залишок на початок року (18 503) (17 939)</w:t>
            </w:r>
            <w:r>
              <w:rPr>
                <w:rFonts w:eastAsia="Times New Roman"/>
                <w:color w:val="000000"/>
                <w:sz w:val="20"/>
                <w:szCs w:val="20"/>
              </w:rPr>
              <w:br/>
            </w:r>
            <w:r>
              <w:rPr>
                <w:rFonts w:eastAsia="Times New Roman"/>
                <w:color w:val="000000"/>
                <w:sz w:val="20"/>
                <w:szCs w:val="20"/>
              </w:rPr>
              <w:br/>
              <w:t>Визнано витрати (11 547) (1 473)</w:t>
            </w:r>
            <w:r>
              <w:rPr>
                <w:rFonts w:eastAsia="Times New Roman"/>
                <w:color w:val="000000"/>
                <w:sz w:val="20"/>
                <w:szCs w:val="20"/>
              </w:rPr>
              <w:br/>
              <w:t>Вивiльнення резерву 454 829</w:t>
            </w:r>
            <w:r>
              <w:rPr>
                <w:rFonts w:eastAsia="Times New Roman"/>
                <w:color w:val="000000"/>
                <w:sz w:val="20"/>
                <w:szCs w:val="20"/>
              </w:rPr>
              <w:br/>
              <w:t>Резерв використаний за перiод 10 80</w:t>
            </w:r>
            <w:r>
              <w:rPr>
                <w:rFonts w:eastAsia="Times New Roman"/>
                <w:color w:val="000000"/>
                <w:sz w:val="20"/>
                <w:szCs w:val="20"/>
              </w:rPr>
              <w:br/>
            </w:r>
            <w:r>
              <w:rPr>
                <w:rFonts w:eastAsia="Times New Roman"/>
                <w:color w:val="000000"/>
                <w:sz w:val="20"/>
                <w:szCs w:val="20"/>
              </w:rPr>
              <w:br/>
              <w:t>Залишок на кiнець року (29 586) (18 503)</w:t>
            </w:r>
            <w:r>
              <w:rPr>
                <w:rFonts w:eastAsia="Times New Roman"/>
                <w:color w:val="000000"/>
                <w:sz w:val="20"/>
                <w:szCs w:val="20"/>
              </w:rPr>
              <w:br/>
              <w:t>Аналiз знецiненої торгової дебiторської заборгованостi за строками виникнення представлений таким чином:</w:t>
            </w:r>
            <w:r>
              <w:rPr>
                <w:rFonts w:eastAsia="Times New Roman"/>
                <w:color w:val="000000"/>
                <w:sz w:val="20"/>
                <w:szCs w:val="20"/>
              </w:rPr>
              <w:br/>
              <w:t>31 грудня 2017 року 31 грудня 2016 року</w:t>
            </w:r>
            <w:r>
              <w:rPr>
                <w:rFonts w:eastAsia="Times New Roman"/>
                <w:color w:val="000000"/>
                <w:sz w:val="20"/>
                <w:szCs w:val="20"/>
              </w:rPr>
              <w:br/>
            </w:r>
            <w:r>
              <w:rPr>
                <w:rFonts w:eastAsia="Times New Roman"/>
                <w:color w:val="000000"/>
                <w:sz w:val="20"/>
                <w:szCs w:val="20"/>
              </w:rPr>
              <w:br/>
              <w:t>Вiд дванадцяти до вiсiмнадцяти мiсяцiв - (390)</w:t>
            </w:r>
            <w:r>
              <w:rPr>
                <w:rFonts w:eastAsia="Times New Roman"/>
                <w:color w:val="000000"/>
                <w:sz w:val="20"/>
                <w:szCs w:val="20"/>
              </w:rPr>
              <w:br/>
              <w:t>Вiд вiсiмнадцяти до тридцяти шести мiсяцiв - -</w:t>
            </w:r>
            <w:r>
              <w:rPr>
                <w:rFonts w:eastAsia="Times New Roman"/>
                <w:color w:val="000000"/>
                <w:sz w:val="20"/>
                <w:szCs w:val="20"/>
              </w:rPr>
              <w:br/>
              <w:t>Понад тридцять шiсть мiсяцiв (29 586) (18 113)</w:t>
            </w:r>
            <w:r>
              <w:rPr>
                <w:rFonts w:eastAsia="Times New Roman"/>
                <w:color w:val="000000"/>
                <w:sz w:val="20"/>
                <w:szCs w:val="20"/>
              </w:rPr>
              <w:br/>
            </w:r>
            <w:r>
              <w:rPr>
                <w:rFonts w:eastAsia="Times New Roman"/>
                <w:color w:val="000000"/>
                <w:sz w:val="20"/>
                <w:szCs w:val="20"/>
              </w:rPr>
              <w:br/>
              <w:t>Всього (29 586) (18 503)</w:t>
            </w:r>
            <w:r>
              <w:rPr>
                <w:rFonts w:eastAsia="Times New Roman"/>
                <w:color w:val="000000"/>
                <w:sz w:val="20"/>
                <w:szCs w:val="20"/>
              </w:rPr>
              <w:br/>
            </w:r>
            <w:r>
              <w:rPr>
                <w:rFonts w:eastAsia="Times New Roman"/>
                <w:color w:val="000000"/>
                <w:sz w:val="20"/>
                <w:szCs w:val="20"/>
              </w:rPr>
              <w:br/>
              <w:t>9. Заборгованiсть за розрахунками за виданими авансами та з бюджетом (рядки фiнансового звiту “1130” та “1135”)</w:t>
            </w:r>
            <w:r>
              <w:rPr>
                <w:rFonts w:eastAsia="Times New Roman"/>
                <w:color w:val="000000"/>
                <w:sz w:val="20"/>
                <w:szCs w:val="20"/>
              </w:rPr>
              <w:br/>
              <w:t>Станом на 31 грудня 2017 року та 31 грудня 2016 року заборгованiсть за розрахунками за виданими авансами та з бюджетом була представлена таким чином:</w:t>
            </w:r>
            <w:r>
              <w:rPr>
                <w:rFonts w:eastAsia="Times New Roman"/>
                <w:color w:val="000000"/>
                <w:sz w:val="20"/>
                <w:szCs w:val="20"/>
              </w:rPr>
              <w:br/>
              <w:t>31 грудня 2017 року 31 грудня 2016 року</w:t>
            </w:r>
            <w:r>
              <w:rPr>
                <w:rFonts w:eastAsia="Times New Roman"/>
                <w:color w:val="000000"/>
                <w:sz w:val="20"/>
                <w:szCs w:val="20"/>
              </w:rPr>
              <w:br/>
            </w:r>
            <w:r>
              <w:rPr>
                <w:rFonts w:eastAsia="Times New Roman"/>
                <w:color w:val="000000"/>
                <w:sz w:val="20"/>
                <w:szCs w:val="20"/>
              </w:rPr>
              <w:br/>
              <w:t>Дебiторська заборгованiсть за виданими авансами 903 888</w:t>
            </w:r>
            <w:r>
              <w:rPr>
                <w:rFonts w:eastAsia="Times New Roman"/>
                <w:color w:val="000000"/>
                <w:sz w:val="20"/>
                <w:szCs w:val="20"/>
              </w:rPr>
              <w:br/>
            </w:r>
            <w:r>
              <w:rPr>
                <w:rFonts w:eastAsia="Times New Roman"/>
                <w:color w:val="000000"/>
                <w:sz w:val="20"/>
                <w:szCs w:val="20"/>
              </w:rPr>
              <w:br/>
              <w:t>Всього за рядком 1130 903 888</w:t>
            </w:r>
            <w:r>
              <w:rPr>
                <w:rFonts w:eastAsia="Times New Roman"/>
                <w:color w:val="000000"/>
                <w:sz w:val="20"/>
                <w:szCs w:val="20"/>
              </w:rPr>
              <w:br/>
            </w:r>
            <w:r>
              <w:rPr>
                <w:rFonts w:eastAsia="Times New Roman"/>
                <w:color w:val="000000"/>
                <w:sz w:val="20"/>
                <w:szCs w:val="20"/>
              </w:rPr>
              <w:br/>
              <w:t>Аванс з податку на додану вартiсть 745 -</w:t>
            </w:r>
            <w:r>
              <w:rPr>
                <w:rFonts w:eastAsia="Times New Roman"/>
                <w:color w:val="000000"/>
                <w:sz w:val="20"/>
                <w:szCs w:val="20"/>
              </w:rPr>
              <w:br/>
            </w:r>
            <w:r>
              <w:rPr>
                <w:rFonts w:eastAsia="Times New Roman"/>
                <w:color w:val="000000"/>
                <w:sz w:val="20"/>
                <w:szCs w:val="20"/>
              </w:rPr>
              <w:br/>
              <w:t>Всього за рядком 1135 745 -</w:t>
            </w:r>
            <w:r>
              <w:rPr>
                <w:rFonts w:eastAsia="Times New Roman"/>
                <w:color w:val="000000"/>
                <w:sz w:val="20"/>
                <w:szCs w:val="20"/>
              </w:rPr>
              <w:br/>
              <w:t xml:space="preserve">Дебiторська заборгованiсть за виданими авансами включає в себе аванси за товари, роботи, послуги, аванси за </w:t>
            </w:r>
            <w:r>
              <w:rPr>
                <w:rFonts w:eastAsia="Times New Roman"/>
                <w:color w:val="000000"/>
                <w:sz w:val="20"/>
                <w:szCs w:val="20"/>
              </w:rPr>
              <w:lastRenderedPageBreak/>
              <w:t xml:space="preserve">послуги страхування майна та аванси за перiодичнi видання. </w:t>
            </w:r>
            <w:proofErr w:type="gramStart"/>
            <w:r>
              <w:rPr>
                <w:rFonts w:eastAsia="Times New Roman"/>
                <w:color w:val="000000"/>
                <w:sz w:val="20"/>
                <w:szCs w:val="20"/>
              </w:rPr>
              <w:t>До складу</w:t>
            </w:r>
            <w:proofErr w:type="gramEnd"/>
            <w:r>
              <w:rPr>
                <w:rFonts w:eastAsia="Times New Roman"/>
                <w:color w:val="000000"/>
                <w:sz w:val="20"/>
                <w:szCs w:val="20"/>
              </w:rPr>
              <w:t xml:space="preserve"> iнших податкiв та зборiв входять аванси з податку на нерухоме майно, вiдмiнне вiд земельної дiлянки, рентної плати за спецiальне використання води та рентної плати за користування надрами. </w:t>
            </w:r>
            <w:r>
              <w:rPr>
                <w:rFonts w:eastAsia="Times New Roman"/>
                <w:color w:val="000000"/>
                <w:sz w:val="20"/>
                <w:szCs w:val="20"/>
              </w:rPr>
              <w:br/>
              <w:t>10. Грошовi кошти та їх еквiваленти (рядок фiнансового звiту “1165”)</w:t>
            </w:r>
            <w:r>
              <w:rPr>
                <w:rFonts w:eastAsia="Times New Roman"/>
                <w:color w:val="000000"/>
                <w:sz w:val="20"/>
                <w:szCs w:val="20"/>
              </w:rPr>
              <w:br/>
              <w:t>Станом на 31 грудня 2017 року та 31 грудня 2016 року грошовi кошти та їх еквiваленти були представленi таким чином:</w:t>
            </w:r>
            <w:r>
              <w:rPr>
                <w:rFonts w:eastAsia="Times New Roman"/>
                <w:color w:val="000000"/>
                <w:sz w:val="20"/>
                <w:szCs w:val="20"/>
              </w:rPr>
              <w:br/>
              <w:t>31 грудня 2017 року 31 грудня 2016 року</w:t>
            </w:r>
            <w:r>
              <w:rPr>
                <w:rFonts w:eastAsia="Times New Roman"/>
                <w:color w:val="000000"/>
                <w:sz w:val="20"/>
                <w:szCs w:val="20"/>
              </w:rPr>
              <w:br/>
            </w:r>
            <w:r>
              <w:rPr>
                <w:rFonts w:eastAsia="Times New Roman"/>
                <w:color w:val="000000"/>
                <w:sz w:val="20"/>
                <w:szCs w:val="20"/>
              </w:rPr>
              <w:br/>
              <w:t>Грошовi кошти в банках 6 748 12 215</w:t>
            </w:r>
            <w:r>
              <w:rPr>
                <w:rFonts w:eastAsia="Times New Roman"/>
                <w:color w:val="000000"/>
                <w:sz w:val="20"/>
                <w:szCs w:val="20"/>
              </w:rPr>
              <w:br/>
            </w:r>
            <w:r>
              <w:rPr>
                <w:rFonts w:eastAsia="Times New Roman"/>
                <w:color w:val="000000"/>
                <w:sz w:val="20"/>
                <w:szCs w:val="20"/>
              </w:rPr>
              <w:br/>
              <w:t>Всього 6 748 12 215</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t>11. Iншi оборотнi активи (рядок фiнансового звiту “1190”)</w:t>
            </w:r>
            <w:r>
              <w:rPr>
                <w:rFonts w:eastAsia="Times New Roman"/>
                <w:color w:val="000000"/>
                <w:sz w:val="20"/>
                <w:szCs w:val="20"/>
              </w:rPr>
              <w:br/>
              <w:t>Станом на 31 грудня 2017 року та 31 грудня 2016 iншi оборотнi активи були представленi таким чином:</w:t>
            </w:r>
            <w:r>
              <w:rPr>
                <w:rFonts w:eastAsia="Times New Roman"/>
                <w:color w:val="000000"/>
                <w:sz w:val="20"/>
                <w:szCs w:val="20"/>
              </w:rPr>
              <w:br/>
              <w:t>31 грудня 2017 року 31 грудня 2016 року</w:t>
            </w:r>
            <w:r>
              <w:rPr>
                <w:rFonts w:eastAsia="Times New Roman"/>
                <w:color w:val="000000"/>
                <w:sz w:val="20"/>
                <w:szCs w:val="20"/>
              </w:rPr>
              <w:br/>
            </w:r>
            <w:r>
              <w:rPr>
                <w:rFonts w:eastAsia="Times New Roman"/>
                <w:color w:val="000000"/>
                <w:sz w:val="20"/>
                <w:szCs w:val="20"/>
              </w:rPr>
              <w:br/>
              <w:t>Непiдтверджений податковий кредит 1 109 42</w:t>
            </w:r>
            <w:r>
              <w:rPr>
                <w:rFonts w:eastAsia="Times New Roman"/>
                <w:color w:val="000000"/>
                <w:sz w:val="20"/>
                <w:szCs w:val="20"/>
              </w:rPr>
              <w:br/>
            </w:r>
            <w:r>
              <w:rPr>
                <w:rFonts w:eastAsia="Times New Roman"/>
                <w:color w:val="000000"/>
                <w:sz w:val="20"/>
                <w:szCs w:val="20"/>
              </w:rPr>
              <w:br/>
              <w:t>Всього 1 109 42</w:t>
            </w:r>
            <w:r>
              <w:rPr>
                <w:rFonts w:eastAsia="Times New Roman"/>
                <w:color w:val="000000"/>
                <w:sz w:val="20"/>
                <w:szCs w:val="20"/>
              </w:rPr>
              <w:br/>
              <w:t>12. Зареєстрований капiтал (рядки фiнансового звiту “1400”, “1410”, “1415”)</w:t>
            </w:r>
            <w:r>
              <w:rPr>
                <w:rFonts w:eastAsia="Times New Roman"/>
                <w:color w:val="000000"/>
                <w:sz w:val="20"/>
                <w:szCs w:val="20"/>
              </w:rPr>
              <w:br/>
              <w:t xml:space="preserve">Станом на 31 грудня 2017 року та 31 грудня 2016 року статутний капiтал Товариства складав </w:t>
            </w:r>
            <w:r>
              <w:rPr>
                <w:rFonts w:eastAsia="Times New Roman"/>
                <w:color w:val="000000"/>
                <w:sz w:val="20"/>
                <w:szCs w:val="20"/>
              </w:rPr>
              <w:br/>
              <w:t>47 532 941 акцiя номiнальною вартiстю 10 гривень кожна, що становить 475 329 410 тисяч гривень. Акцiонери Товариства станом на 31 грудня 2017 року та 31 грудня 2016 року були представленi наступним чином:</w:t>
            </w:r>
            <w:r>
              <w:rPr>
                <w:rFonts w:eastAsia="Times New Roman"/>
                <w:color w:val="000000"/>
                <w:sz w:val="20"/>
                <w:szCs w:val="20"/>
              </w:rPr>
              <w:br/>
              <w:t>Акцiонери 31 грудня 2017 року 31 грудня 2016 року</w:t>
            </w:r>
            <w:r>
              <w:rPr>
                <w:rFonts w:eastAsia="Times New Roman"/>
                <w:color w:val="000000"/>
                <w:sz w:val="20"/>
                <w:szCs w:val="20"/>
              </w:rPr>
              <w:br/>
            </w:r>
            <w:r>
              <w:rPr>
                <w:rFonts w:eastAsia="Times New Roman"/>
                <w:color w:val="000000"/>
                <w:sz w:val="20"/>
                <w:szCs w:val="20"/>
              </w:rPr>
              <w:br/>
              <w:t>Держава в особi Мiнiстерства енергетики та вугiльної промисловостi України 87,40% 87,40%</w:t>
            </w:r>
            <w:r>
              <w:rPr>
                <w:rFonts w:eastAsia="Times New Roman"/>
                <w:color w:val="000000"/>
                <w:sz w:val="20"/>
                <w:szCs w:val="20"/>
              </w:rPr>
              <w:br/>
              <w:t>ПАТ «Укргiдроенерго» 11,48% 11,48%</w:t>
            </w:r>
            <w:r>
              <w:rPr>
                <w:rFonts w:eastAsia="Times New Roman"/>
                <w:color w:val="000000"/>
                <w:sz w:val="20"/>
                <w:szCs w:val="20"/>
              </w:rPr>
              <w:br/>
              <w:t>ПАТ «ДТЕК ЗАХIДЕНЕРГО» 1,07% 1,07%</w:t>
            </w:r>
            <w:r>
              <w:rPr>
                <w:rFonts w:eastAsia="Times New Roman"/>
                <w:color w:val="000000"/>
                <w:sz w:val="20"/>
                <w:szCs w:val="20"/>
              </w:rPr>
              <w:br/>
              <w:t>Iншi акцiонери 0,05% 0,05%</w:t>
            </w:r>
            <w:r>
              <w:rPr>
                <w:rFonts w:eastAsia="Times New Roman"/>
                <w:color w:val="000000"/>
                <w:sz w:val="20"/>
                <w:szCs w:val="20"/>
              </w:rPr>
              <w:br/>
            </w:r>
            <w:r>
              <w:rPr>
                <w:rFonts w:eastAsia="Times New Roman"/>
                <w:color w:val="000000"/>
                <w:sz w:val="20"/>
                <w:szCs w:val="20"/>
              </w:rPr>
              <w:br/>
              <w:t>Всього 100% 100%</w:t>
            </w:r>
            <w:r>
              <w:rPr>
                <w:rFonts w:eastAsia="Times New Roman"/>
                <w:color w:val="000000"/>
                <w:sz w:val="20"/>
                <w:szCs w:val="20"/>
              </w:rPr>
              <w:br/>
              <w:t>Статутний капiтал Товариства повнiстю сплачений акцiонерами.</w:t>
            </w:r>
            <w:r>
              <w:rPr>
                <w:rFonts w:eastAsia="Times New Roman"/>
                <w:color w:val="000000"/>
                <w:sz w:val="20"/>
                <w:szCs w:val="20"/>
              </w:rPr>
              <w:br/>
              <w:t>Додатковий капiтал Товариства складається з оцiненої вартостi нематерiального активу Право користування землею.</w:t>
            </w:r>
            <w:r>
              <w:rPr>
                <w:rFonts w:eastAsia="Times New Roman"/>
                <w:color w:val="000000"/>
                <w:sz w:val="20"/>
                <w:szCs w:val="20"/>
              </w:rPr>
              <w:br/>
              <w:t>Резервний капiтал Товариства створений згiдно з вимогами Статуту на покриття збиткiв, збiльшення статутного капiталу, погашення заборгованостi в разi лiквiдацiї Товариства, тощо та складає 6 167 тисяч гривень.</w:t>
            </w:r>
            <w:r>
              <w:rPr>
                <w:rFonts w:eastAsia="Times New Roman"/>
                <w:color w:val="000000"/>
                <w:sz w:val="20"/>
                <w:szCs w:val="20"/>
              </w:rPr>
              <w:br/>
            </w:r>
            <w:r>
              <w:rPr>
                <w:rFonts w:eastAsia="Times New Roman"/>
                <w:color w:val="000000"/>
                <w:sz w:val="20"/>
                <w:szCs w:val="20"/>
              </w:rPr>
              <w:br/>
              <w:t>13. Податок на прибуток (рядки фiнансового звiту “1045”, “1500” та “2300”)</w:t>
            </w:r>
            <w:r>
              <w:rPr>
                <w:rFonts w:eastAsia="Times New Roman"/>
                <w:color w:val="000000"/>
                <w:sz w:val="20"/>
                <w:szCs w:val="20"/>
              </w:rPr>
              <w:br/>
              <w:t xml:space="preserve">У 2017 роцi податок на прибуток пiдприємств в Українi становив 18%. </w:t>
            </w:r>
            <w:r>
              <w:rPr>
                <w:rFonts w:eastAsia="Times New Roman"/>
                <w:color w:val="000000"/>
                <w:sz w:val="20"/>
                <w:szCs w:val="20"/>
              </w:rPr>
              <w:br/>
              <w:t>Вiдстроченi податковi активи (зобов’язання) станом на 31 грудня 2017 року та на 31 грудня 2016 року, якi вiдображено у фiнансовому звiтi, представленi таким чином:</w:t>
            </w:r>
            <w:r>
              <w:rPr>
                <w:rFonts w:eastAsia="Times New Roman"/>
                <w:color w:val="000000"/>
                <w:sz w:val="20"/>
                <w:szCs w:val="20"/>
              </w:rPr>
              <w:br/>
              <w:t xml:space="preserve">31 грудня </w:t>
            </w:r>
            <w:r>
              <w:rPr>
                <w:rFonts w:eastAsia="Times New Roman"/>
                <w:color w:val="000000"/>
                <w:sz w:val="20"/>
                <w:szCs w:val="20"/>
              </w:rPr>
              <w:br/>
              <w:t xml:space="preserve">2017 року 31 грудня </w:t>
            </w:r>
            <w:r>
              <w:rPr>
                <w:rFonts w:eastAsia="Times New Roman"/>
                <w:color w:val="000000"/>
                <w:sz w:val="20"/>
                <w:szCs w:val="20"/>
              </w:rPr>
              <w:br/>
              <w:t>2016 року</w:t>
            </w:r>
            <w:r>
              <w:rPr>
                <w:rFonts w:eastAsia="Times New Roman"/>
                <w:color w:val="000000"/>
                <w:sz w:val="20"/>
                <w:szCs w:val="20"/>
              </w:rPr>
              <w:br/>
              <w:t xml:space="preserve">Складовi частини вiдстроченого податкового активу (вiдстроченого податкового зобов’язання): </w:t>
            </w:r>
            <w:r>
              <w:rPr>
                <w:rFonts w:eastAsia="Times New Roman"/>
                <w:color w:val="000000"/>
                <w:sz w:val="20"/>
                <w:szCs w:val="20"/>
              </w:rPr>
              <w:br/>
              <w:t>Рiзниця мiж балансовою вартiстю основних засобiв в фiнансовому та податковому облiку (65) (88)</w:t>
            </w:r>
            <w:r>
              <w:rPr>
                <w:rFonts w:eastAsia="Times New Roman"/>
                <w:color w:val="000000"/>
                <w:sz w:val="20"/>
                <w:szCs w:val="20"/>
              </w:rPr>
              <w:br/>
              <w:t>Резерв сумнiвних боргiв 2 350 3 330</w:t>
            </w:r>
            <w:r>
              <w:rPr>
                <w:rFonts w:eastAsia="Times New Roman"/>
                <w:color w:val="000000"/>
                <w:sz w:val="20"/>
                <w:szCs w:val="20"/>
              </w:rPr>
              <w:br/>
              <w:t>Забезпечення витрат на рiчний аудит 162 4</w:t>
            </w:r>
            <w:r>
              <w:rPr>
                <w:rFonts w:eastAsia="Times New Roman"/>
                <w:color w:val="000000"/>
                <w:sz w:val="20"/>
                <w:szCs w:val="20"/>
              </w:rPr>
              <w:br/>
              <w:t>Визнання нематерiального активу «право користування землею» (1 006) (1 009)</w:t>
            </w:r>
            <w:r>
              <w:rPr>
                <w:rFonts w:eastAsia="Times New Roman"/>
                <w:color w:val="000000"/>
                <w:sz w:val="20"/>
                <w:szCs w:val="20"/>
              </w:rPr>
              <w:br/>
              <w:t>Чистий вiдстрочений податковий актив (чисте податкове зобов’язання) 1 441 2 237</w:t>
            </w:r>
            <w:r>
              <w:rPr>
                <w:rFonts w:eastAsia="Times New Roman"/>
                <w:color w:val="000000"/>
                <w:sz w:val="20"/>
                <w:szCs w:val="20"/>
              </w:rPr>
              <w:br/>
              <w:t>Витрати (доходи) з податку на прибуток складалися з:</w:t>
            </w:r>
            <w:r>
              <w:rPr>
                <w:rFonts w:eastAsia="Times New Roman"/>
                <w:color w:val="000000"/>
                <w:sz w:val="20"/>
                <w:szCs w:val="20"/>
              </w:rPr>
              <w:br/>
            </w:r>
            <w:r>
              <w:rPr>
                <w:rFonts w:eastAsia="Times New Roman"/>
                <w:color w:val="000000"/>
                <w:sz w:val="20"/>
                <w:szCs w:val="20"/>
              </w:rPr>
              <w:br/>
              <w:t xml:space="preserve">Вiдстроченi податковi активи: </w:t>
            </w:r>
            <w:r>
              <w:rPr>
                <w:rFonts w:eastAsia="Times New Roman"/>
                <w:color w:val="000000"/>
                <w:sz w:val="20"/>
                <w:szCs w:val="20"/>
              </w:rPr>
              <w:br/>
              <w:t>на 31.12.2016 3 246</w:t>
            </w:r>
            <w:r>
              <w:rPr>
                <w:rFonts w:eastAsia="Times New Roman"/>
                <w:color w:val="000000"/>
                <w:sz w:val="20"/>
                <w:szCs w:val="20"/>
              </w:rPr>
              <w:br/>
              <w:t>на 31.12.2017 2 447</w:t>
            </w:r>
            <w:r>
              <w:rPr>
                <w:rFonts w:eastAsia="Times New Roman"/>
                <w:color w:val="000000"/>
                <w:sz w:val="20"/>
                <w:szCs w:val="20"/>
              </w:rPr>
              <w:br/>
              <w:t xml:space="preserve">Вiдстроченi податковi зобов’язання </w:t>
            </w:r>
            <w:r>
              <w:rPr>
                <w:rFonts w:eastAsia="Times New Roman"/>
                <w:color w:val="000000"/>
                <w:sz w:val="20"/>
                <w:szCs w:val="20"/>
              </w:rPr>
              <w:br/>
              <w:t>на 31.12.2016 1 009</w:t>
            </w:r>
            <w:r>
              <w:rPr>
                <w:rFonts w:eastAsia="Times New Roman"/>
                <w:color w:val="000000"/>
                <w:sz w:val="20"/>
                <w:szCs w:val="20"/>
              </w:rPr>
              <w:br/>
              <w:t>на 31.12.2017 1 006</w:t>
            </w:r>
            <w:r>
              <w:rPr>
                <w:rFonts w:eastAsia="Times New Roman"/>
                <w:color w:val="000000"/>
                <w:sz w:val="20"/>
                <w:szCs w:val="20"/>
              </w:rPr>
              <w:br/>
              <w:t>Податок на прибуток за 2017 рiк 1 703</w:t>
            </w:r>
            <w:r>
              <w:rPr>
                <w:rFonts w:eastAsia="Times New Roman"/>
                <w:color w:val="000000"/>
                <w:sz w:val="20"/>
                <w:szCs w:val="20"/>
              </w:rPr>
              <w:br/>
              <w:t>(Доходи)/витрати по вiдстроченому податку, що є результатом виникнення та сторнування тимчасових рiзниць, включенi до Звiту про фiнансовi результати 796</w:t>
            </w:r>
            <w:r>
              <w:rPr>
                <w:rFonts w:eastAsia="Times New Roman"/>
                <w:color w:val="000000"/>
                <w:sz w:val="20"/>
                <w:szCs w:val="20"/>
              </w:rPr>
              <w:br/>
              <w:t>Всього (доход)/ витрати з податку на прибуток за рiк 2 499</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lastRenderedPageBreak/>
              <w:br/>
              <w:t>14. Поточна кредиторська заборгованiсть за товари, роботи, послуги (рядок фiнансового звiту “1615”)</w:t>
            </w:r>
            <w:r>
              <w:rPr>
                <w:rFonts w:eastAsia="Times New Roman"/>
                <w:color w:val="000000"/>
                <w:sz w:val="20"/>
                <w:szCs w:val="20"/>
              </w:rPr>
              <w:br/>
              <w:t>Станом на 31 грудня 2017 року та 31 грудня 2016 року поточна кредиторська заборгованiсть за товари, роботи, послуги була представлена наступним чином:</w:t>
            </w:r>
            <w:r>
              <w:rPr>
                <w:rFonts w:eastAsia="Times New Roman"/>
                <w:color w:val="000000"/>
                <w:sz w:val="20"/>
                <w:szCs w:val="20"/>
              </w:rPr>
              <w:br/>
              <w:t>31 грудня 2017 року 31 грудня 2016 року</w:t>
            </w:r>
            <w:r>
              <w:rPr>
                <w:rFonts w:eastAsia="Times New Roman"/>
                <w:color w:val="000000"/>
                <w:sz w:val="20"/>
                <w:szCs w:val="20"/>
              </w:rPr>
              <w:br/>
            </w:r>
            <w:r>
              <w:rPr>
                <w:rFonts w:eastAsia="Times New Roman"/>
                <w:color w:val="000000"/>
                <w:sz w:val="20"/>
                <w:szCs w:val="20"/>
              </w:rPr>
              <w:br/>
              <w:t>Кредиторська заборгованiсть за куповану електроенергiю 227 202</w:t>
            </w:r>
            <w:r>
              <w:rPr>
                <w:rFonts w:eastAsia="Times New Roman"/>
                <w:color w:val="000000"/>
                <w:sz w:val="20"/>
                <w:szCs w:val="20"/>
              </w:rPr>
              <w:br/>
              <w:t>Кредиторська заборгованiсть за основнi засоби 83 9</w:t>
            </w:r>
            <w:r>
              <w:rPr>
                <w:rFonts w:eastAsia="Times New Roman"/>
                <w:color w:val="000000"/>
                <w:sz w:val="20"/>
                <w:szCs w:val="20"/>
              </w:rPr>
              <w:br/>
              <w:t>Кредиторська заборгованiсть за послуги 20 6</w:t>
            </w:r>
            <w:r>
              <w:rPr>
                <w:rFonts w:eastAsia="Times New Roman"/>
                <w:color w:val="000000"/>
                <w:sz w:val="20"/>
                <w:szCs w:val="20"/>
              </w:rPr>
              <w:br/>
              <w:t>Кредиторська заборгованiсть за запаси 14 -</w:t>
            </w:r>
            <w:r>
              <w:rPr>
                <w:rFonts w:eastAsia="Times New Roman"/>
                <w:color w:val="000000"/>
                <w:sz w:val="20"/>
                <w:szCs w:val="20"/>
              </w:rPr>
              <w:br/>
              <w:t>Iнша кредиторська заборгованiсть 3 3</w:t>
            </w:r>
            <w:r>
              <w:rPr>
                <w:rFonts w:eastAsia="Times New Roman"/>
                <w:color w:val="000000"/>
                <w:sz w:val="20"/>
                <w:szCs w:val="20"/>
              </w:rPr>
              <w:br/>
            </w:r>
            <w:r>
              <w:rPr>
                <w:rFonts w:eastAsia="Times New Roman"/>
                <w:color w:val="000000"/>
                <w:sz w:val="20"/>
                <w:szCs w:val="20"/>
              </w:rPr>
              <w:br/>
              <w:t>Всього 347 220</w:t>
            </w:r>
            <w:r>
              <w:rPr>
                <w:rFonts w:eastAsia="Times New Roman"/>
                <w:color w:val="000000"/>
                <w:sz w:val="20"/>
                <w:szCs w:val="20"/>
              </w:rPr>
              <w:br/>
              <w:t>15. Поточна кредиторська заборгованiсть за розрахунками з бюджетом (рядок фiнансового звiту “1620”, “1621”)</w:t>
            </w:r>
            <w:r>
              <w:rPr>
                <w:rFonts w:eastAsia="Times New Roman"/>
                <w:color w:val="000000"/>
                <w:sz w:val="20"/>
                <w:szCs w:val="20"/>
              </w:rPr>
              <w:br/>
              <w:t>Станом на 31 грудня 2017 року та 31 грудня 2016 року поточна кредиторська заборгованiсть за розрахунками з бюджетом була представлена наступним чином:</w:t>
            </w:r>
            <w:r>
              <w:rPr>
                <w:rFonts w:eastAsia="Times New Roman"/>
                <w:color w:val="000000"/>
                <w:sz w:val="20"/>
                <w:szCs w:val="20"/>
              </w:rPr>
              <w:br/>
              <w:t>Найменування 31 грудня 2017 року 31 грудня 2016 року</w:t>
            </w:r>
            <w:r>
              <w:rPr>
                <w:rFonts w:eastAsia="Times New Roman"/>
                <w:color w:val="000000"/>
                <w:sz w:val="20"/>
                <w:szCs w:val="20"/>
              </w:rPr>
              <w:br/>
            </w:r>
            <w:r>
              <w:rPr>
                <w:rFonts w:eastAsia="Times New Roman"/>
                <w:color w:val="000000"/>
                <w:sz w:val="20"/>
                <w:szCs w:val="20"/>
              </w:rPr>
              <w:br/>
              <w:t>Податок на прибуток 496 133</w:t>
            </w:r>
            <w:r>
              <w:rPr>
                <w:rFonts w:eastAsia="Times New Roman"/>
                <w:color w:val="000000"/>
                <w:sz w:val="20"/>
                <w:szCs w:val="20"/>
              </w:rPr>
              <w:br/>
              <w:t>Податок на додану вартiсть - 437</w:t>
            </w:r>
            <w:r>
              <w:rPr>
                <w:rFonts w:eastAsia="Times New Roman"/>
                <w:color w:val="000000"/>
                <w:sz w:val="20"/>
                <w:szCs w:val="20"/>
              </w:rPr>
              <w:br/>
              <w:t>Акцизний податок 324 304</w:t>
            </w:r>
            <w:r>
              <w:rPr>
                <w:rFonts w:eastAsia="Times New Roman"/>
                <w:color w:val="000000"/>
                <w:sz w:val="20"/>
                <w:szCs w:val="20"/>
              </w:rPr>
              <w:br/>
              <w:t>Рентна плата за воду 1 181 895</w:t>
            </w:r>
            <w:r>
              <w:rPr>
                <w:rFonts w:eastAsia="Times New Roman"/>
                <w:color w:val="000000"/>
                <w:sz w:val="20"/>
                <w:szCs w:val="20"/>
              </w:rPr>
              <w:br/>
              <w:t>Рентна плата за радiочастотнi ресурси - 1</w:t>
            </w:r>
            <w:r>
              <w:rPr>
                <w:rFonts w:eastAsia="Times New Roman"/>
                <w:color w:val="000000"/>
                <w:sz w:val="20"/>
                <w:szCs w:val="20"/>
              </w:rPr>
              <w:br/>
              <w:t>Податок з плати за землю 155 144</w:t>
            </w:r>
            <w:r>
              <w:rPr>
                <w:rFonts w:eastAsia="Times New Roman"/>
                <w:color w:val="000000"/>
                <w:sz w:val="20"/>
                <w:szCs w:val="20"/>
              </w:rPr>
              <w:br/>
              <w:t>Податок на нерухоме майно, вiдмiнне вiд земельної дiлянки - 2</w:t>
            </w:r>
            <w:r>
              <w:rPr>
                <w:rFonts w:eastAsia="Times New Roman"/>
                <w:color w:val="000000"/>
                <w:sz w:val="20"/>
                <w:szCs w:val="20"/>
              </w:rPr>
              <w:br/>
            </w:r>
            <w:r>
              <w:rPr>
                <w:rFonts w:eastAsia="Times New Roman"/>
                <w:color w:val="000000"/>
                <w:sz w:val="20"/>
                <w:szCs w:val="20"/>
              </w:rPr>
              <w:br/>
              <w:t>Всього 2 156 1 916</w:t>
            </w:r>
            <w:r>
              <w:rPr>
                <w:rFonts w:eastAsia="Times New Roman"/>
                <w:color w:val="000000"/>
                <w:sz w:val="20"/>
                <w:szCs w:val="20"/>
              </w:rPr>
              <w:br/>
            </w:r>
            <w:r>
              <w:rPr>
                <w:rFonts w:eastAsia="Times New Roman"/>
                <w:color w:val="000000"/>
                <w:sz w:val="20"/>
                <w:szCs w:val="20"/>
              </w:rPr>
              <w:br/>
              <w:t>16. Забезпечення наступних виплат i платежiв (рядок фiнансового звiту “1660”)</w:t>
            </w:r>
            <w:r>
              <w:rPr>
                <w:rFonts w:eastAsia="Times New Roman"/>
                <w:color w:val="000000"/>
                <w:sz w:val="20"/>
                <w:szCs w:val="20"/>
              </w:rPr>
              <w:br/>
              <w:t>Станом на 31 грудня 2017 року та 31 грудня 2016 року забезпечення наступних виплат i платежiв були представленi наступним чином:</w:t>
            </w:r>
            <w:r>
              <w:rPr>
                <w:rFonts w:eastAsia="Times New Roman"/>
                <w:color w:val="000000"/>
                <w:sz w:val="20"/>
                <w:szCs w:val="20"/>
              </w:rPr>
              <w:br/>
            </w:r>
            <w:r>
              <w:rPr>
                <w:rFonts w:eastAsia="Times New Roman"/>
                <w:color w:val="000000"/>
                <w:sz w:val="20"/>
                <w:szCs w:val="20"/>
              </w:rPr>
              <w:br/>
              <w:t>31 грудня 2017 року 31 грудня 2016 року</w:t>
            </w:r>
            <w:r>
              <w:rPr>
                <w:rFonts w:eastAsia="Times New Roman"/>
                <w:color w:val="000000"/>
                <w:sz w:val="20"/>
                <w:szCs w:val="20"/>
              </w:rPr>
              <w:br/>
            </w:r>
            <w:r>
              <w:rPr>
                <w:rFonts w:eastAsia="Times New Roman"/>
                <w:color w:val="000000"/>
                <w:sz w:val="20"/>
                <w:szCs w:val="20"/>
              </w:rPr>
              <w:br/>
              <w:t>Забезпечення наступних витрат на невикористанi вiдпустки 1 761 923</w:t>
            </w:r>
            <w:r>
              <w:rPr>
                <w:rFonts w:eastAsia="Times New Roman"/>
                <w:color w:val="000000"/>
                <w:sz w:val="20"/>
                <w:szCs w:val="20"/>
              </w:rPr>
              <w:br/>
              <w:t>Забезпечення на рiчний аудит 900 22</w:t>
            </w:r>
            <w:r>
              <w:rPr>
                <w:rFonts w:eastAsia="Times New Roman"/>
                <w:color w:val="000000"/>
                <w:sz w:val="20"/>
                <w:szCs w:val="20"/>
              </w:rPr>
              <w:br/>
              <w:t>Всього 2 661 945</w:t>
            </w:r>
            <w:r>
              <w:rPr>
                <w:rFonts w:eastAsia="Times New Roman"/>
                <w:color w:val="000000"/>
                <w:sz w:val="20"/>
                <w:szCs w:val="20"/>
              </w:rPr>
              <w:br/>
              <w:t>Рух забезпечень за 2017 рiк наступний:</w:t>
            </w:r>
            <w:r>
              <w:rPr>
                <w:rFonts w:eastAsia="Times New Roman"/>
                <w:color w:val="000000"/>
                <w:sz w:val="20"/>
                <w:szCs w:val="20"/>
              </w:rPr>
              <w:br/>
              <w:t>На 31.12.2016 Нараховано за перiод Використано На 31.12.2017</w:t>
            </w:r>
            <w:r>
              <w:rPr>
                <w:rFonts w:eastAsia="Times New Roman"/>
                <w:color w:val="000000"/>
                <w:sz w:val="20"/>
                <w:szCs w:val="20"/>
              </w:rPr>
              <w:br/>
              <w:t>Забезпечення витрат за невикористанi вiдпустки 923 2 193 (1 355) 1 761</w:t>
            </w:r>
            <w:r>
              <w:rPr>
                <w:rFonts w:eastAsia="Times New Roman"/>
                <w:color w:val="000000"/>
                <w:sz w:val="20"/>
                <w:szCs w:val="20"/>
              </w:rPr>
              <w:br/>
              <w:t>Забезпечення на рiчний аудит 22 878 (-) 900</w:t>
            </w:r>
            <w:r>
              <w:rPr>
                <w:rFonts w:eastAsia="Times New Roman"/>
                <w:color w:val="000000"/>
                <w:sz w:val="20"/>
                <w:szCs w:val="20"/>
              </w:rPr>
              <w:br/>
              <w:t>Всього 945 3 071 (1 355) 2 661</w:t>
            </w:r>
            <w:r>
              <w:rPr>
                <w:rFonts w:eastAsia="Times New Roman"/>
                <w:color w:val="000000"/>
                <w:sz w:val="20"/>
                <w:szCs w:val="20"/>
              </w:rPr>
              <w:br/>
              <w:t>17. Iншi поточнi зобов’язання (рядок фiнансового звiту “1690”)</w:t>
            </w:r>
            <w:r>
              <w:rPr>
                <w:rFonts w:eastAsia="Times New Roman"/>
                <w:color w:val="000000"/>
                <w:sz w:val="20"/>
                <w:szCs w:val="20"/>
              </w:rPr>
              <w:br/>
              <w:t>Станом на 31 грудня 2017 року та 31 грудня 2016 року iншi поточнi зобов’язання представленi наступним чином:</w:t>
            </w:r>
            <w:r>
              <w:rPr>
                <w:rFonts w:eastAsia="Times New Roman"/>
                <w:color w:val="000000"/>
                <w:sz w:val="20"/>
                <w:szCs w:val="20"/>
              </w:rPr>
              <w:br/>
              <w:t>Найменування 31 грудня 2017 року 31 грудня 2016 року</w:t>
            </w:r>
            <w:r>
              <w:rPr>
                <w:rFonts w:eastAsia="Times New Roman"/>
                <w:color w:val="000000"/>
                <w:sz w:val="20"/>
                <w:szCs w:val="20"/>
              </w:rPr>
              <w:br/>
            </w:r>
            <w:r>
              <w:rPr>
                <w:rFonts w:eastAsia="Times New Roman"/>
                <w:color w:val="000000"/>
                <w:sz w:val="20"/>
                <w:szCs w:val="20"/>
              </w:rPr>
              <w:br/>
              <w:t>Податковий кредит з ПДВ в авансах виплачених 545 9</w:t>
            </w:r>
            <w:r>
              <w:rPr>
                <w:rFonts w:eastAsia="Times New Roman"/>
                <w:color w:val="000000"/>
                <w:sz w:val="20"/>
                <w:szCs w:val="20"/>
              </w:rPr>
              <w:br/>
              <w:t>Податковi зобов’язання у неоплачених рахунках за касовим методом облiку ПДВ 3 921 3 262</w:t>
            </w:r>
            <w:r>
              <w:rPr>
                <w:rFonts w:eastAsia="Times New Roman"/>
                <w:color w:val="000000"/>
                <w:sz w:val="20"/>
                <w:szCs w:val="20"/>
              </w:rPr>
              <w:br/>
              <w:t>Зобов’язання по профспiлковим внескам - 1</w:t>
            </w:r>
            <w:r>
              <w:rPr>
                <w:rFonts w:eastAsia="Times New Roman"/>
                <w:color w:val="000000"/>
                <w:sz w:val="20"/>
                <w:szCs w:val="20"/>
              </w:rPr>
              <w:br/>
            </w:r>
            <w:r>
              <w:rPr>
                <w:rFonts w:eastAsia="Times New Roman"/>
                <w:color w:val="000000"/>
                <w:sz w:val="20"/>
                <w:szCs w:val="20"/>
              </w:rPr>
              <w:br/>
              <w:t>Всього 4 466 3 272</w:t>
            </w:r>
            <w:r>
              <w:rPr>
                <w:rFonts w:eastAsia="Times New Roman"/>
                <w:color w:val="000000"/>
                <w:sz w:val="20"/>
                <w:szCs w:val="20"/>
              </w:rPr>
              <w:br/>
            </w:r>
            <w:r>
              <w:rPr>
                <w:rFonts w:eastAsia="Times New Roman"/>
                <w:color w:val="000000"/>
                <w:sz w:val="20"/>
                <w:szCs w:val="20"/>
              </w:rPr>
              <w:br/>
              <w:t>18. Чистий дохiд вiд реалiзацiї продукцiї (товарiв, робiт, послуг) (рядок Звiту про сукупний дохiд “2000“)</w:t>
            </w:r>
            <w:r>
              <w:rPr>
                <w:rFonts w:eastAsia="Times New Roman"/>
                <w:color w:val="000000"/>
                <w:sz w:val="20"/>
                <w:szCs w:val="20"/>
              </w:rPr>
              <w:br/>
              <w:t>Чистий дохiд реалiзованої продукцiї (товарiв, робiт, послуг) за 2017 та 2016 роки представлений наступним чином:</w:t>
            </w:r>
            <w:r>
              <w:rPr>
                <w:rFonts w:eastAsia="Times New Roman"/>
                <w:color w:val="000000"/>
                <w:sz w:val="20"/>
                <w:szCs w:val="20"/>
              </w:rPr>
              <w:br/>
              <w:t>Найменування 2017 рiк 2016 рiк</w:t>
            </w:r>
            <w:r>
              <w:rPr>
                <w:rFonts w:eastAsia="Times New Roman"/>
                <w:color w:val="000000"/>
                <w:sz w:val="20"/>
                <w:szCs w:val="20"/>
              </w:rPr>
              <w:br/>
            </w:r>
            <w:r>
              <w:rPr>
                <w:rFonts w:eastAsia="Times New Roman"/>
                <w:color w:val="000000"/>
                <w:sz w:val="20"/>
                <w:szCs w:val="20"/>
              </w:rPr>
              <w:br/>
              <w:t>Доходи вiд реалiзацiї активної електроенергiї 86 046 63 053</w:t>
            </w:r>
            <w:r>
              <w:rPr>
                <w:rFonts w:eastAsia="Times New Roman"/>
                <w:color w:val="000000"/>
                <w:sz w:val="20"/>
                <w:szCs w:val="20"/>
              </w:rPr>
              <w:br/>
            </w:r>
            <w:r>
              <w:rPr>
                <w:rFonts w:eastAsia="Times New Roman"/>
                <w:color w:val="000000"/>
                <w:sz w:val="20"/>
                <w:szCs w:val="20"/>
              </w:rPr>
              <w:br/>
              <w:t>Всього 86 046 63 053</w:t>
            </w:r>
            <w:r>
              <w:rPr>
                <w:rFonts w:eastAsia="Times New Roman"/>
                <w:color w:val="000000"/>
                <w:sz w:val="20"/>
                <w:szCs w:val="20"/>
              </w:rPr>
              <w:br/>
              <w:t>19. Собiвартiсть реалiзованої продукцiї (товарiв, робiт, послуг) (рядок Звiту про сукупний дохiд “2050“)</w:t>
            </w:r>
            <w:r>
              <w:rPr>
                <w:rFonts w:eastAsia="Times New Roman"/>
                <w:color w:val="000000"/>
                <w:sz w:val="20"/>
                <w:szCs w:val="20"/>
              </w:rPr>
              <w:br/>
              <w:t>Собiвартiсть реалiзованої продукцiї (товарiв, робiт, послуг) за 2017 та 2016 роки представлена наступним чином:</w:t>
            </w:r>
            <w:r>
              <w:rPr>
                <w:rFonts w:eastAsia="Times New Roman"/>
                <w:color w:val="000000"/>
                <w:sz w:val="20"/>
                <w:szCs w:val="20"/>
              </w:rPr>
              <w:br/>
              <w:t>Найменування 2017 рiк 2016 рiк</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lastRenderedPageBreak/>
              <w:t xml:space="preserve">Собiвартiсть реалiзованої продукцiї </w:t>
            </w:r>
            <w:r>
              <w:rPr>
                <w:rFonts w:eastAsia="Times New Roman"/>
                <w:color w:val="000000"/>
                <w:sz w:val="20"/>
                <w:szCs w:val="20"/>
              </w:rPr>
              <w:br/>
              <w:t>(товарiв, робiт, послуг) 49 673 38 730</w:t>
            </w:r>
            <w:r>
              <w:rPr>
                <w:rFonts w:eastAsia="Times New Roman"/>
                <w:color w:val="000000"/>
                <w:sz w:val="20"/>
                <w:szCs w:val="20"/>
              </w:rPr>
              <w:br/>
            </w:r>
            <w:r>
              <w:rPr>
                <w:rFonts w:eastAsia="Times New Roman"/>
                <w:color w:val="000000"/>
                <w:sz w:val="20"/>
                <w:szCs w:val="20"/>
              </w:rPr>
              <w:br/>
              <w:t>Всього 49 673 38 730</w:t>
            </w:r>
            <w:r>
              <w:rPr>
                <w:rFonts w:eastAsia="Times New Roman"/>
                <w:color w:val="000000"/>
                <w:sz w:val="20"/>
                <w:szCs w:val="20"/>
              </w:rPr>
              <w:br/>
              <w:t xml:space="preserve">СТРУКТУРА СОБIВАРТОСТI </w:t>
            </w:r>
            <w:r>
              <w:rPr>
                <w:rFonts w:eastAsia="Times New Roman"/>
                <w:color w:val="000000"/>
                <w:sz w:val="20"/>
                <w:szCs w:val="20"/>
              </w:rPr>
              <w:br/>
              <w:t>Статтi витрат 2017 рiк 2016 рiк</w:t>
            </w:r>
            <w:r>
              <w:rPr>
                <w:rFonts w:eastAsia="Times New Roman"/>
                <w:color w:val="000000"/>
                <w:sz w:val="20"/>
                <w:szCs w:val="20"/>
              </w:rPr>
              <w:br/>
              <w:t>Ремонтнi роботи 14 185 7 122</w:t>
            </w:r>
            <w:r>
              <w:rPr>
                <w:rFonts w:eastAsia="Times New Roman"/>
                <w:color w:val="000000"/>
                <w:sz w:val="20"/>
                <w:szCs w:val="20"/>
              </w:rPr>
              <w:br/>
              <w:t>Витрати на оплату працi 9 940 7 720</w:t>
            </w:r>
            <w:r>
              <w:rPr>
                <w:rFonts w:eastAsia="Times New Roman"/>
                <w:color w:val="000000"/>
                <w:sz w:val="20"/>
                <w:szCs w:val="20"/>
              </w:rPr>
              <w:br/>
              <w:t>Амортизацiя необоротних активiв 9 827 13 798</w:t>
            </w:r>
            <w:r>
              <w:rPr>
                <w:rFonts w:eastAsia="Times New Roman"/>
                <w:color w:val="000000"/>
                <w:sz w:val="20"/>
                <w:szCs w:val="20"/>
              </w:rPr>
              <w:br/>
              <w:t>Збiр за використання водних ресурсiв 4 443 3 555</w:t>
            </w:r>
            <w:r>
              <w:rPr>
                <w:rFonts w:eastAsia="Times New Roman"/>
                <w:color w:val="000000"/>
                <w:sz w:val="20"/>
                <w:szCs w:val="20"/>
              </w:rPr>
              <w:br/>
              <w:t>Вiдрахування на соцiальнi заходи 2 087 1 653</w:t>
            </w:r>
            <w:r>
              <w:rPr>
                <w:rFonts w:eastAsia="Times New Roman"/>
                <w:color w:val="000000"/>
                <w:sz w:val="20"/>
                <w:szCs w:val="20"/>
              </w:rPr>
              <w:br/>
              <w:t>Транспортнi послуги 1 886 203</w:t>
            </w:r>
            <w:r>
              <w:rPr>
                <w:rFonts w:eastAsia="Times New Roman"/>
                <w:color w:val="000000"/>
                <w:sz w:val="20"/>
                <w:szCs w:val="20"/>
              </w:rPr>
              <w:br/>
              <w:t>Сировина i допомiжнi матерiали 1 729 1 643</w:t>
            </w:r>
            <w:r>
              <w:rPr>
                <w:rFonts w:eastAsia="Times New Roman"/>
                <w:color w:val="000000"/>
                <w:sz w:val="20"/>
                <w:szCs w:val="20"/>
              </w:rPr>
              <w:br/>
              <w:t>Вартiсть купованої електроенергiї 947 739</w:t>
            </w:r>
            <w:r>
              <w:rPr>
                <w:rFonts w:eastAsia="Times New Roman"/>
                <w:color w:val="000000"/>
                <w:sz w:val="20"/>
                <w:szCs w:val="20"/>
              </w:rPr>
              <w:br/>
              <w:t>Страхування працiвникiв 945 109</w:t>
            </w:r>
            <w:r>
              <w:rPr>
                <w:rFonts w:eastAsia="Times New Roman"/>
                <w:color w:val="000000"/>
                <w:sz w:val="20"/>
                <w:szCs w:val="20"/>
              </w:rPr>
              <w:br/>
              <w:t>Iншi витрати 574 81</w:t>
            </w:r>
            <w:r>
              <w:rPr>
                <w:rFonts w:eastAsia="Times New Roman"/>
                <w:color w:val="000000"/>
                <w:sz w:val="20"/>
                <w:szCs w:val="20"/>
              </w:rPr>
              <w:br/>
              <w:t>Плата за землю 436 411</w:t>
            </w:r>
            <w:r>
              <w:rPr>
                <w:rFonts w:eastAsia="Times New Roman"/>
                <w:color w:val="000000"/>
                <w:sz w:val="20"/>
                <w:szCs w:val="20"/>
              </w:rPr>
              <w:br/>
              <w:t>Послуги з наладки, обслуговування та випробування обладнання 370 425</w:t>
            </w:r>
            <w:r>
              <w:rPr>
                <w:rFonts w:eastAsia="Times New Roman"/>
                <w:color w:val="000000"/>
                <w:sz w:val="20"/>
                <w:szCs w:val="20"/>
              </w:rPr>
              <w:br/>
              <w:t>Послуги лабораторiй 57 58</w:t>
            </w:r>
            <w:r>
              <w:rPr>
                <w:rFonts w:eastAsia="Times New Roman"/>
                <w:color w:val="000000"/>
                <w:sz w:val="20"/>
                <w:szCs w:val="20"/>
              </w:rPr>
              <w:br/>
              <w:t>Витрати на оплату службових вiдряджень 49 68</w:t>
            </w:r>
            <w:r>
              <w:rPr>
                <w:rFonts w:eastAsia="Times New Roman"/>
                <w:color w:val="000000"/>
                <w:sz w:val="20"/>
                <w:szCs w:val="20"/>
              </w:rPr>
              <w:br/>
              <w:t>Iншi обов'язковi платежi 38 52</w:t>
            </w:r>
            <w:r>
              <w:rPr>
                <w:rFonts w:eastAsia="Times New Roman"/>
                <w:color w:val="000000"/>
                <w:sz w:val="20"/>
                <w:szCs w:val="20"/>
              </w:rPr>
              <w:br/>
              <w:t>Паливно-мастильнi матерiали 29 30</w:t>
            </w:r>
            <w:r>
              <w:rPr>
                <w:rFonts w:eastAsia="Times New Roman"/>
                <w:color w:val="000000"/>
                <w:sz w:val="20"/>
                <w:szCs w:val="20"/>
              </w:rPr>
              <w:br/>
              <w:t>Витрати на зв'язок 22 33</w:t>
            </w:r>
            <w:r>
              <w:rPr>
                <w:rFonts w:eastAsia="Times New Roman"/>
                <w:color w:val="000000"/>
                <w:sz w:val="20"/>
                <w:szCs w:val="20"/>
              </w:rPr>
              <w:br/>
              <w:t>Пiдготовка кадрiв 2 5</w:t>
            </w:r>
            <w:r>
              <w:rPr>
                <w:rFonts w:eastAsia="Times New Roman"/>
                <w:color w:val="000000"/>
                <w:sz w:val="20"/>
                <w:szCs w:val="20"/>
              </w:rPr>
              <w:br/>
              <w:t>Перiодичнi видання 2 2</w:t>
            </w:r>
            <w:r>
              <w:rPr>
                <w:rFonts w:eastAsia="Times New Roman"/>
                <w:color w:val="000000"/>
                <w:sz w:val="20"/>
                <w:szCs w:val="20"/>
              </w:rPr>
              <w:br/>
              <w:t>Iншi послуги 2 105 1 023</w:t>
            </w:r>
            <w:r>
              <w:rPr>
                <w:rFonts w:eastAsia="Times New Roman"/>
                <w:color w:val="000000"/>
                <w:sz w:val="20"/>
                <w:szCs w:val="20"/>
              </w:rPr>
              <w:br/>
              <w:t>Разом собiвартiсть 49 673 38 730</w:t>
            </w:r>
            <w:r>
              <w:rPr>
                <w:rFonts w:eastAsia="Times New Roman"/>
                <w:color w:val="000000"/>
                <w:sz w:val="20"/>
                <w:szCs w:val="20"/>
              </w:rPr>
              <w:br/>
              <w:t>20. Iншi операцiйнi доходи (рядок Звiту про сукупний дохiд “2120“)</w:t>
            </w:r>
            <w:r>
              <w:rPr>
                <w:rFonts w:eastAsia="Times New Roman"/>
                <w:color w:val="000000"/>
                <w:sz w:val="20"/>
                <w:szCs w:val="20"/>
              </w:rPr>
              <w:br/>
              <w:t>Iншi операцiйнi доходи за 2017 та 2016 роки були представленi наступним чином:</w:t>
            </w:r>
            <w:r>
              <w:rPr>
                <w:rFonts w:eastAsia="Times New Roman"/>
                <w:color w:val="000000"/>
                <w:sz w:val="20"/>
                <w:szCs w:val="20"/>
              </w:rPr>
              <w:br/>
              <w:t>Найменування 2017 рiк 2016 рiк</w:t>
            </w:r>
            <w:r>
              <w:rPr>
                <w:rFonts w:eastAsia="Times New Roman"/>
                <w:color w:val="000000"/>
                <w:sz w:val="20"/>
                <w:szCs w:val="20"/>
              </w:rPr>
              <w:br/>
            </w:r>
            <w:r>
              <w:rPr>
                <w:rFonts w:eastAsia="Times New Roman"/>
                <w:color w:val="000000"/>
                <w:sz w:val="20"/>
                <w:szCs w:val="20"/>
              </w:rPr>
              <w:br/>
              <w:t>Дохiд вiд оренди активiв 1 235 1 898</w:t>
            </w:r>
            <w:r>
              <w:rPr>
                <w:rFonts w:eastAsia="Times New Roman"/>
                <w:color w:val="000000"/>
                <w:sz w:val="20"/>
                <w:szCs w:val="20"/>
              </w:rPr>
              <w:br/>
              <w:t>Дохiд вiд реалiзацiї необоротних активiв - 38</w:t>
            </w:r>
            <w:r>
              <w:rPr>
                <w:rFonts w:eastAsia="Times New Roman"/>
                <w:color w:val="000000"/>
                <w:sz w:val="20"/>
                <w:szCs w:val="20"/>
              </w:rPr>
              <w:br/>
              <w:t>Iншi операцiйнi доходи 523 885</w:t>
            </w:r>
            <w:r>
              <w:rPr>
                <w:rFonts w:eastAsia="Times New Roman"/>
                <w:color w:val="000000"/>
                <w:sz w:val="20"/>
                <w:szCs w:val="20"/>
              </w:rPr>
              <w:br/>
            </w:r>
            <w:r>
              <w:rPr>
                <w:rFonts w:eastAsia="Times New Roman"/>
                <w:color w:val="000000"/>
                <w:sz w:val="20"/>
                <w:szCs w:val="20"/>
              </w:rPr>
              <w:br/>
              <w:t>Всього 1 758 2 821</w:t>
            </w:r>
            <w:r>
              <w:rPr>
                <w:rFonts w:eastAsia="Times New Roman"/>
                <w:color w:val="000000"/>
                <w:sz w:val="20"/>
                <w:szCs w:val="20"/>
              </w:rPr>
              <w:br/>
              <w:t>21. Адмiнiстративнi витрати (рядок Звiту про сукупний дохiд “2130“)</w:t>
            </w:r>
            <w:r>
              <w:rPr>
                <w:rFonts w:eastAsia="Times New Roman"/>
                <w:color w:val="000000"/>
                <w:sz w:val="20"/>
                <w:szCs w:val="20"/>
              </w:rPr>
              <w:br/>
              <w:t>Адмiнiстративнi витрати за 2017 та 2016 роки представленi наступним чином:</w:t>
            </w:r>
            <w:r>
              <w:rPr>
                <w:rFonts w:eastAsia="Times New Roman"/>
                <w:color w:val="000000"/>
                <w:sz w:val="20"/>
                <w:szCs w:val="20"/>
              </w:rPr>
              <w:br/>
              <w:t>2017 рiк 2016 рiк</w:t>
            </w:r>
            <w:r>
              <w:rPr>
                <w:rFonts w:eastAsia="Times New Roman"/>
                <w:color w:val="000000"/>
                <w:sz w:val="20"/>
                <w:szCs w:val="20"/>
              </w:rPr>
              <w:br/>
              <w:t>Витрати на оплату працi (8 808) (7 173)</w:t>
            </w:r>
            <w:r>
              <w:rPr>
                <w:rFonts w:eastAsia="Times New Roman"/>
                <w:color w:val="000000"/>
                <w:sz w:val="20"/>
                <w:szCs w:val="20"/>
              </w:rPr>
              <w:br/>
              <w:t>Матерiальнi витрати (592) (498)</w:t>
            </w:r>
            <w:r>
              <w:rPr>
                <w:rFonts w:eastAsia="Times New Roman"/>
                <w:color w:val="000000"/>
                <w:sz w:val="20"/>
                <w:szCs w:val="20"/>
              </w:rPr>
              <w:br/>
              <w:t>Витрати на вiдрядження (706) (490)</w:t>
            </w:r>
            <w:r>
              <w:rPr>
                <w:rFonts w:eastAsia="Times New Roman"/>
                <w:color w:val="000000"/>
                <w:sz w:val="20"/>
                <w:szCs w:val="20"/>
              </w:rPr>
              <w:br/>
              <w:t>Консультацiйнi послуги (208) (417)</w:t>
            </w:r>
            <w:r>
              <w:rPr>
                <w:rFonts w:eastAsia="Times New Roman"/>
                <w:color w:val="000000"/>
                <w:sz w:val="20"/>
                <w:szCs w:val="20"/>
              </w:rPr>
              <w:br/>
              <w:t>Амортизацiя необоротних активiв (472) (350)</w:t>
            </w:r>
            <w:r>
              <w:rPr>
                <w:rFonts w:eastAsia="Times New Roman"/>
                <w:color w:val="000000"/>
                <w:sz w:val="20"/>
                <w:szCs w:val="20"/>
              </w:rPr>
              <w:br/>
              <w:t>Страхування (1 236) (183)</w:t>
            </w:r>
            <w:r>
              <w:rPr>
                <w:rFonts w:eastAsia="Times New Roman"/>
                <w:color w:val="000000"/>
                <w:sz w:val="20"/>
                <w:szCs w:val="20"/>
              </w:rPr>
              <w:br/>
              <w:t>Послуги реєстратора (173) (121)</w:t>
            </w:r>
            <w:r>
              <w:rPr>
                <w:rFonts w:eastAsia="Times New Roman"/>
                <w:color w:val="000000"/>
                <w:sz w:val="20"/>
                <w:szCs w:val="20"/>
              </w:rPr>
              <w:br/>
              <w:t>Витрати на зв'язок (81) (109)</w:t>
            </w:r>
            <w:r>
              <w:rPr>
                <w:rFonts w:eastAsia="Times New Roman"/>
                <w:color w:val="000000"/>
                <w:sz w:val="20"/>
                <w:szCs w:val="20"/>
              </w:rPr>
              <w:br/>
              <w:t>Витрати на послуги банку (57) (47)</w:t>
            </w:r>
            <w:r>
              <w:rPr>
                <w:rFonts w:eastAsia="Times New Roman"/>
                <w:color w:val="000000"/>
                <w:sz w:val="20"/>
                <w:szCs w:val="20"/>
              </w:rPr>
              <w:br/>
              <w:t>Представницькi витрати (44) (36)</w:t>
            </w:r>
            <w:r>
              <w:rPr>
                <w:rFonts w:eastAsia="Times New Roman"/>
                <w:color w:val="000000"/>
                <w:sz w:val="20"/>
                <w:szCs w:val="20"/>
              </w:rPr>
              <w:br/>
              <w:t>Iнформацiйнi послуги (504) (35)</w:t>
            </w:r>
            <w:r>
              <w:rPr>
                <w:rFonts w:eastAsia="Times New Roman"/>
                <w:color w:val="000000"/>
                <w:sz w:val="20"/>
                <w:szCs w:val="20"/>
              </w:rPr>
              <w:br/>
              <w:t>Аудиторськi послуги (1 627) (22)</w:t>
            </w:r>
            <w:r>
              <w:rPr>
                <w:rFonts w:eastAsia="Times New Roman"/>
                <w:color w:val="000000"/>
                <w:sz w:val="20"/>
                <w:szCs w:val="20"/>
              </w:rPr>
              <w:br/>
              <w:t>Транспортнi послуги (8) (15)</w:t>
            </w:r>
            <w:r>
              <w:rPr>
                <w:rFonts w:eastAsia="Times New Roman"/>
                <w:color w:val="000000"/>
                <w:sz w:val="20"/>
                <w:szCs w:val="20"/>
              </w:rPr>
              <w:br/>
              <w:t>Витрати на комп'ютеризацiю облiкових робiт (16) (11)</w:t>
            </w:r>
            <w:r>
              <w:rPr>
                <w:rFonts w:eastAsia="Times New Roman"/>
                <w:color w:val="000000"/>
                <w:sz w:val="20"/>
                <w:szCs w:val="20"/>
              </w:rPr>
              <w:br/>
              <w:t>Ремонт (92) (4)</w:t>
            </w:r>
            <w:r>
              <w:rPr>
                <w:rFonts w:eastAsia="Times New Roman"/>
                <w:color w:val="000000"/>
                <w:sz w:val="20"/>
                <w:szCs w:val="20"/>
              </w:rPr>
              <w:br/>
              <w:t>Юридичнi послуги (22) (3)</w:t>
            </w:r>
            <w:r>
              <w:rPr>
                <w:rFonts w:eastAsia="Times New Roman"/>
                <w:color w:val="000000"/>
                <w:sz w:val="20"/>
                <w:szCs w:val="20"/>
              </w:rPr>
              <w:br/>
              <w:t>Iншi витрати (5 012) (4 267)</w:t>
            </w:r>
            <w:r>
              <w:rPr>
                <w:rFonts w:eastAsia="Times New Roman"/>
                <w:color w:val="000000"/>
                <w:sz w:val="20"/>
                <w:szCs w:val="20"/>
              </w:rPr>
              <w:br/>
              <w:t>Всього (19 659) (13 781)</w:t>
            </w:r>
            <w:r>
              <w:rPr>
                <w:rFonts w:eastAsia="Times New Roman"/>
                <w:color w:val="000000"/>
                <w:sz w:val="20"/>
                <w:szCs w:val="20"/>
              </w:rPr>
              <w:br/>
              <w:t>22. Iншi операцiйнi витрати (рядок Звiту про сукупний дохiд “2180“)</w:t>
            </w:r>
            <w:r>
              <w:rPr>
                <w:rFonts w:eastAsia="Times New Roman"/>
                <w:color w:val="000000"/>
                <w:sz w:val="20"/>
                <w:szCs w:val="20"/>
              </w:rPr>
              <w:br/>
              <w:t>Iншi операцiйнi витрати за 2017 та 2016 роки представленi наступним чином:</w:t>
            </w:r>
            <w:r>
              <w:rPr>
                <w:rFonts w:eastAsia="Times New Roman"/>
                <w:color w:val="000000"/>
                <w:sz w:val="20"/>
                <w:szCs w:val="20"/>
              </w:rPr>
              <w:br/>
              <w:t>2017 рiк 2016 рiк</w:t>
            </w:r>
            <w:r>
              <w:rPr>
                <w:rFonts w:eastAsia="Times New Roman"/>
                <w:color w:val="000000"/>
                <w:sz w:val="20"/>
                <w:szCs w:val="20"/>
              </w:rPr>
              <w:br/>
              <w:t>Сумнiвнi борги (11 547) (1 474)</w:t>
            </w:r>
            <w:r>
              <w:rPr>
                <w:rFonts w:eastAsia="Times New Roman"/>
                <w:color w:val="000000"/>
                <w:sz w:val="20"/>
                <w:szCs w:val="20"/>
              </w:rPr>
              <w:br/>
              <w:t>Амортизацiя необоротних активiв (424) (721)</w:t>
            </w:r>
            <w:r>
              <w:rPr>
                <w:rFonts w:eastAsia="Times New Roman"/>
                <w:color w:val="000000"/>
                <w:sz w:val="20"/>
                <w:szCs w:val="20"/>
              </w:rPr>
              <w:br/>
              <w:t>Витрати на оплату працi (315) (559)</w:t>
            </w:r>
            <w:r>
              <w:rPr>
                <w:rFonts w:eastAsia="Times New Roman"/>
                <w:color w:val="000000"/>
                <w:sz w:val="20"/>
                <w:szCs w:val="20"/>
              </w:rPr>
              <w:br/>
            </w:r>
            <w:r>
              <w:rPr>
                <w:rFonts w:eastAsia="Times New Roman"/>
                <w:color w:val="000000"/>
                <w:sz w:val="20"/>
                <w:szCs w:val="20"/>
              </w:rPr>
              <w:lastRenderedPageBreak/>
              <w:t>Ремонтнi роботи ( - ) (395)</w:t>
            </w:r>
            <w:r>
              <w:rPr>
                <w:rFonts w:eastAsia="Times New Roman"/>
                <w:color w:val="000000"/>
                <w:sz w:val="20"/>
                <w:szCs w:val="20"/>
              </w:rPr>
              <w:br/>
              <w:t>Списання ОЗ (ПДВ) (1 416) (331)</w:t>
            </w:r>
            <w:r>
              <w:rPr>
                <w:rFonts w:eastAsia="Times New Roman"/>
                <w:color w:val="000000"/>
                <w:sz w:val="20"/>
                <w:szCs w:val="20"/>
              </w:rPr>
              <w:br/>
              <w:t>Списання безнадiйної дебiторської заборгованостi ( - ) (318)</w:t>
            </w:r>
            <w:r>
              <w:rPr>
                <w:rFonts w:eastAsia="Times New Roman"/>
                <w:color w:val="000000"/>
                <w:sz w:val="20"/>
                <w:szCs w:val="20"/>
              </w:rPr>
              <w:br/>
              <w:t>Вiдрахування профспiлковому комiтету (321) (269)</w:t>
            </w:r>
            <w:r>
              <w:rPr>
                <w:rFonts w:eastAsia="Times New Roman"/>
                <w:color w:val="000000"/>
                <w:sz w:val="20"/>
                <w:szCs w:val="20"/>
              </w:rPr>
              <w:br/>
              <w:t>Iншi операцiйнi витрати (160) (171)</w:t>
            </w:r>
            <w:r>
              <w:rPr>
                <w:rFonts w:eastAsia="Times New Roman"/>
                <w:color w:val="000000"/>
                <w:sz w:val="20"/>
                <w:szCs w:val="20"/>
              </w:rPr>
              <w:br/>
              <w:t>Утримання бази вiдпочинку «Вишнева» ( - ) (135)</w:t>
            </w:r>
            <w:r>
              <w:rPr>
                <w:rFonts w:eastAsia="Times New Roman"/>
                <w:color w:val="000000"/>
                <w:sz w:val="20"/>
                <w:szCs w:val="20"/>
              </w:rPr>
              <w:br/>
              <w:t>Благодiйна допомога ( - ) (67)</w:t>
            </w:r>
            <w:r>
              <w:rPr>
                <w:rFonts w:eastAsia="Times New Roman"/>
                <w:color w:val="000000"/>
                <w:sz w:val="20"/>
                <w:szCs w:val="20"/>
              </w:rPr>
              <w:br/>
              <w:t>Плата за землю (2) (42)</w:t>
            </w:r>
            <w:r>
              <w:rPr>
                <w:rFonts w:eastAsia="Times New Roman"/>
                <w:color w:val="000000"/>
                <w:sz w:val="20"/>
                <w:szCs w:val="20"/>
              </w:rPr>
              <w:br/>
              <w:t>Матерiальнi витрати ( - ) (6)</w:t>
            </w:r>
            <w:r>
              <w:rPr>
                <w:rFonts w:eastAsia="Times New Roman"/>
                <w:color w:val="000000"/>
                <w:sz w:val="20"/>
                <w:szCs w:val="20"/>
              </w:rPr>
              <w:br/>
              <w:t>Всього (14 186) (4 488)</w:t>
            </w:r>
            <w:r>
              <w:rPr>
                <w:rFonts w:eastAsia="Times New Roman"/>
                <w:color w:val="000000"/>
                <w:sz w:val="20"/>
                <w:szCs w:val="20"/>
              </w:rPr>
              <w:br/>
              <w:t>23. Iншi фiнансовi доходи (рядок Звiту про сукупний дохiд “2220“)</w:t>
            </w:r>
            <w:r>
              <w:rPr>
                <w:rFonts w:eastAsia="Times New Roman"/>
                <w:color w:val="000000"/>
                <w:sz w:val="20"/>
                <w:szCs w:val="20"/>
              </w:rPr>
              <w:br/>
              <w:t>Iншi операцiйнi доходи за 2017 та 2016 роки були представленi наступним чином:</w:t>
            </w:r>
            <w:r>
              <w:rPr>
                <w:rFonts w:eastAsia="Times New Roman"/>
                <w:color w:val="000000"/>
                <w:sz w:val="20"/>
                <w:szCs w:val="20"/>
              </w:rPr>
              <w:br/>
              <w:t>Найменування 2017 рiк 2016 рiк</w:t>
            </w:r>
            <w:r>
              <w:rPr>
                <w:rFonts w:eastAsia="Times New Roman"/>
                <w:color w:val="000000"/>
                <w:sz w:val="20"/>
                <w:szCs w:val="20"/>
              </w:rPr>
              <w:br/>
            </w:r>
            <w:r>
              <w:rPr>
                <w:rFonts w:eastAsia="Times New Roman"/>
                <w:color w:val="000000"/>
                <w:sz w:val="20"/>
                <w:szCs w:val="20"/>
              </w:rPr>
              <w:br/>
              <w:t>Вiдсотки за депозитом 1 517 74</w:t>
            </w:r>
            <w:r>
              <w:rPr>
                <w:rFonts w:eastAsia="Times New Roman"/>
                <w:color w:val="000000"/>
                <w:sz w:val="20"/>
                <w:szCs w:val="20"/>
              </w:rPr>
              <w:br/>
            </w:r>
            <w:r>
              <w:rPr>
                <w:rFonts w:eastAsia="Times New Roman"/>
                <w:color w:val="000000"/>
                <w:sz w:val="20"/>
                <w:szCs w:val="20"/>
              </w:rPr>
              <w:br/>
              <w:t>Всього 1 517 74</w:t>
            </w:r>
            <w:r>
              <w:rPr>
                <w:rFonts w:eastAsia="Times New Roman"/>
                <w:color w:val="000000"/>
                <w:sz w:val="20"/>
                <w:szCs w:val="20"/>
              </w:rPr>
              <w:br/>
              <w:t>24. Iншi витрати (рядок Звiту про сукупний дохiд “2270“)</w:t>
            </w:r>
            <w:r>
              <w:rPr>
                <w:rFonts w:eastAsia="Times New Roman"/>
                <w:color w:val="000000"/>
                <w:sz w:val="20"/>
                <w:szCs w:val="20"/>
              </w:rPr>
              <w:br/>
              <w:t>Iншi витрати за 2017 та 2016 роки представленi наступним чином:</w:t>
            </w:r>
            <w:r>
              <w:rPr>
                <w:rFonts w:eastAsia="Times New Roman"/>
                <w:color w:val="000000"/>
                <w:sz w:val="20"/>
                <w:szCs w:val="20"/>
              </w:rPr>
              <w:br/>
              <w:t>2017 рiк 2016 рiк</w:t>
            </w:r>
            <w:r>
              <w:rPr>
                <w:rFonts w:eastAsia="Times New Roman"/>
                <w:color w:val="000000"/>
                <w:sz w:val="20"/>
                <w:szCs w:val="20"/>
              </w:rPr>
              <w:br/>
            </w:r>
            <w:r>
              <w:rPr>
                <w:rFonts w:eastAsia="Times New Roman"/>
                <w:color w:val="000000"/>
                <w:sz w:val="20"/>
                <w:szCs w:val="20"/>
              </w:rPr>
              <w:br/>
              <w:t>Безоплатна передача бази вiдпочинку «Вишнева» - (6 143)</w:t>
            </w:r>
            <w:r>
              <w:rPr>
                <w:rFonts w:eastAsia="Times New Roman"/>
                <w:color w:val="000000"/>
                <w:sz w:val="20"/>
                <w:szCs w:val="20"/>
              </w:rPr>
              <w:br/>
              <w:t>Витрати по базi «Вишнева» - (298)</w:t>
            </w:r>
            <w:r>
              <w:rPr>
                <w:rFonts w:eastAsia="Times New Roman"/>
                <w:color w:val="000000"/>
                <w:sz w:val="20"/>
                <w:szCs w:val="20"/>
              </w:rPr>
              <w:br/>
              <w:t>Списання основних засобiв (13) (89)</w:t>
            </w:r>
            <w:r>
              <w:rPr>
                <w:rFonts w:eastAsia="Times New Roman"/>
                <w:color w:val="000000"/>
                <w:sz w:val="20"/>
                <w:szCs w:val="20"/>
              </w:rPr>
              <w:br/>
              <w:t>Всього (13) (6 530)</w:t>
            </w:r>
            <w:r>
              <w:rPr>
                <w:rFonts w:eastAsia="Times New Roman"/>
                <w:color w:val="000000"/>
                <w:sz w:val="20"/>
                <w:szCs w:val="20"/>
              </w:rPr>
              <w:br/>
              <w:t>25. Фiнансовi результати (рядки Звiту про сукупний дохiд “2290“ та “2350“)</w:t>
            </w:r>
            <w:r>
              <w:rPr>
                <w:rFonts w:eastAsia="Times New Roman"/>
                <w:color w:val="000000"/>
                <w:sz w:val="20"/>
                <w:szCs w:val="20"/>
              </w:rPr>
              <w:br/>
              <w:t>Найменування 2017 рiк 2016 рiк</w:t>
            </w:r>
            <w:r>
              <w:rPr>
                <w:rFonts w:eastAsia="Times New Roman"/>
                <w:color w:val="000000"/>
                <w:sz w:val="20"/>
                <w:szCs w:val="20"/>
              </w:rPr>
              <w:br/>
            </w:r>
            <w:r>
              <w:rPr>
                <w:rFonts w:eastAsia="Times New Roman"/>
                <w:color w:val="000000"/>
                <w:sz w:val="20"/>
                <w:szCs w:val="20"/>
              </w:rPr>
              <w:br/>
              <w:t xml:space="preserve">Фiнансовий результат до оподаткування: </w:t>
            </w:r>
            <w:r>
              <w:rPr>
                <w:rFonts w:eastAsia="Times New Roman"/>
                <w:color w:val="000000"/>
                <w:sz w:val="20"/>
                <w:szCs w:val="20"/>
              </w:rPr>
              <w:br/>
              <w:t>прибуток 5 790 2 419</w:t>
            </w:r>
            <w:r>
              <w:rPr>
                <w:rFonts w:eastAsia="Times New Roman"/>
                <w:color w:val="000000"/>
                <w:sz w:val="20"/>
                <w:szCs w:val="20"/>
              </w:rPr>
              <w:br/>
              <w:t xml:space="preserve">Чистий фiнансовий результат: </w:t>
            </w:r>
            <w:r>
              <w:rPr>
                <w:rFonts w:eastAsia="Times New Roman"/>
                <w:color w:val="000000"/>
                <w:sz w:val="20"/>
                <w:szCs w:val="20"/>
              </w:rPr>
              <w:br/>
              <w:t xml:space="preserve">прибуток 3 291 1 834 </w:t>
            </w:r>
            <w:r>
              <w:rPr>
                <w:rFonts w:eastAsia="Times New Roman"/>
                <w:color w:val="000000"/>
                <w:sz w:val="20"/>
                <w:szCs w:val="20"/>
              </w:rPr>
              <w:br/>
            </w:r>
            <w:r>
              <w:rPr>
                <w:rFonts w:eastAsia="Times New Roman"/>
                <w:color w:val="000000"/>
                <w:sz w:val="20"/>
                <w:szCs w:val="20"/>
              </w:rPr>
              <w:br/>
              <w:t>26. Операцiї з пов’язаними сторонами</w:t>
            </w:r>
            <w:r>
              <w:rPr>
                <w:rFonts w:eastAsia="Times New Roman"/>
                <w:color w:val="000000"/>
                <w:sz w:val="20"/>
                <w:szCs w:val="20"/>
              </w:rPr>
              <w:br/>
              <w:t xml:space="preserve">Сторони вважаються пов’язаними, якщо перебувають пiд контролем або суттєвим впливом iнших осiб, також пов’язаними сторонами вважаються пiдприємства i фiзичнi особи, якi прямо або опосередковано здiйснюють контроль над пiдприємством або суттєво впливають на його дiяльнiсть, а також близькi члени родини такої фiзичної особи. </w:t>
            </w:r>
            <w:r>
              <w:rPr>
                <w:rFonts w:eastAsia="Times New Roman"/>
                <w:color w:val="000000"/>
                <w:sz w:val="20"/>
                <w:szCs w:val="20"/>
              </w:rPr>
              <w:br/>
              <w:t xml:space="preserve">Товариство знаходиться пiд безпосереднiм контролем Мiнiстерства палива та енергетики України (частка в статутному капiталi становить 87,4%). </w:t>
            </w:r>
            <w:r>
              <w:rPr>
                <w:rFonts w:eastAsia="Times New Roman"/>
                <w:color w:val="000000"/>
                <w:sz w:val="20"/>
                <w:szCs w:val="20"/>
              </w:rPr>
              <w:br/>
              <w:t>Пов’язаними сторонами Товариства є:</w:t>
            </w:r>
            <w:r>
              <w:rPr>
                <w:rFonts w:eastAsia="Times New Roman"/>
                <w:color w:val="000000"/>
                <w:sz w:val="20"/>
                <w:szCs w:val="20"/>
              </w:rPr>
              <w:br/>
              <w:t>- провiдний управлiнський персонал та члени їхнiх сiмей;</w:t>
            </w:r>
            <w:r>
              <w:rPr>
                <w:rFonts w:eastAsia="Times New Roman"/>
                <w:color w:val="000000"/>
                <w:sz w:val="20"/>
                <w:szCs w:val="20"/>
              </w:rPr>
              <w:br/>
              <w:t>- державнi пiдприємства України, якi належать до сфери управлiння Мiнiстерства палива та енергетики України.</w:t>
            </w:r>
            <w:r>
              <w:rPr>
                <w:rFonts w:eastAsia="Times New Roman"/>
                <w:color w:val="000000"/>
                <w:sz w:val="20"/>
                <w:szCs w:val="20"/>
              </w:rPr>
              <w:br/>
              <w:t xml:space="preserve">Iнформацiя про iстотнi обсяги та залишки за операцiями iз пов’язаними сторонами станом на i за роки, якi закiнчилися 31 грудня 2017 та 31 грудня 2016 рокiв, представлена у таблицях нижче: </w:t>
            </w:r>
            <w:r>
              <w:rPr>
                <w:rFonts w:eastAsia="Times New Roman"/>
                <w:color w:val="000000"/>
                <w:sz w:val="20"/>
                <w:szCs w:val="20"/>
              </w:rPr>
              <w:br/>
            </w:r>
            <w:r>
              <w:rPr>
                <w:rFonts w:eastAsia="Times New Roman"/>
                <w:color w:val="000000"/>
                <w:sz w:val="20"/>
                <w:szCs w:val="20"/>
              </w:rPr>
              <w:br/>
              <w:t xml:space="preserve">2017 рiк </w:t>
            </w:r>
            <w:r>
              <w:rPr>
                <w:rFonts w:eastAsia="Times New Roman"/>
                <w:color w:val="000000"/>
                <w:sz w:val="20"/>
                <w:szCs w:val="20"/>
              </w:rPr>
              <w:br/>
              <w:t>2016 рiк</w:t>
            </w:r>
            <w:r>
              <w:rPr>
                <w:rFonts w:eastAsia="Times New Roman"/>
                <w:color w:val="000000"/>
                <w:sz w:val="20"/>
                <w:szCs w:val="20"/>
              </w:rPr>
              <w:br/>
              <w:t>Доходи вiд реалiзацiї 17 460 4 278</w:t>
            </w:r>
            <w:r>
              <w:rPr>
                <w:rFonts w:eastAsia="Times New Roman"/>
                <w:color w:val="000000"/>
                <w:sz w:val="20"/>
                <w:szCs w:val="20"/>
              </w:rPr>
              <w:br/>
              <w:t xml:space="preserve">Торгова дебiторська заборгованiсть 3 379 1 226 281 </w:t>
            </w:r>
            <w:r>
              <w:rPr>
                <w:rFonts w:eastAsia="Times New Roman"/>
                <w:color w:val="000000"/>
                <w:sz w:val="20"/>
                <w:szCs w:val="20"/>
              </w:rPr>
              <w:br/>
              <w:t>Дебiторська заборгованiсть за виданими авансами 28 12 2</w:t>
            </w:r>
            <w:r>
              <w:rPr>
                <w:rFonts w:eastAsia="Times New Roman"/>
                <w:color w:val="000000"/>
                <w:sz w:val="20"/>
                <w:szCs w:val="20"/>
              </w:rPr>
              <w:br/>
              <w:t>Суми заборгованостi пов'язаних сторiн наведенi за вирахуванням резерву у розмiрi 5 тисяч гривень станом на 31 грудня 2016 та 2017 рокiв.</w:t>
            </w:r>
            <w:r>
              <w:rPr>
                <w:rFonts w:eastAsia="Times New Roman"/>
                <w:color w:val="000000"/>
                <w:sz w:val="20"/>
                <w:szCs w:val="20"/>
              </w:rPr>
              <w:br/>
            </w:r>
            <w:r>
              <w:rPr>
                <w:rFonts w:eastAsia="Times New Roman"/>
                <w:color w:val="000000"/>
                <w:sz w:val="20"/>
                <w:szCs w:val="20"/>
              </w:rPr>
              <w:br/>
              <w:t xml:space="preserve">2017 рiк </w:t>
            </w:r>
            <w:r>
              <w:rPr>
                <w:rFonts w:eastAsia="Times New Roman"/>
                <w:color w:val="000000"/>
                <w:sz w:val="20"/>
                <w:szCs w:val="20"/>
              </w:rPr>
              <w:br/>
              <w:t xml:space="preserve">2016 рiк </w:t>
            </w:r>
            <w:r>
              <w:rPr>
                <w:rFonts w:eastAsia="Times New Roman"/>
                <w:color w:val="000000"/>
                <w:sz w:val="20"/>
                <w:szCs w:val="20"/>
              </w:rPr>
              <w:br/>
              <w:t>Кредиторська заборгованiсть за електроенергiю 3 3</w:t>
            </w:r>
            <w:r>
              <w:rPr>
                <w:rFonts w:eastAsia="Times New Roman"/>
                <w:color w:val="000000"/>
                <w:sz w:val="20"/>
                <w:szCs w:val="20"/>
              </w:rPr>
              <w:br/>
              <w:t xml:space="preserve">Компенсацiя провiдному управлiнському персоналу </w:t>
            </w:r>
            <w:r>
              <w:rPr>
                <w:rFonts w:eastAsia="Times New Roman"/>
                <w:color w:val="000000"/>
                <w:sz w:val="20"/>
                <w:szCs w:val="20"/>
              </w:rPr>
              <w:br/>
              <w:t xml:space="preserve">Провiдний управлiнський персонал у 2017 роцi представлений однiєю особою. У 2017 роцi компенсацiя провiдному управлiнському персоналу, що включена </w:t>
            </w:r>
            <w:proofErr w:type="gramStart"/>
            <w:r>
              <w:rPr>
                <w:rFonts w:eastAsia="Times New Roman"/>
                <w:color w:val="000000"/>
                <w:sz w:val="20"/>
                <w:szCs w:val="20"/>
              </w:rPr>
              <w:t>до складу</w:t>
            </w:r>
            <w:proofErr w:type="gramEnd"/>
            <w:r>
              <w:rPr>
                <w:rFonts w:eastAsia="Times New Roman"/>
                <w:color w:val="000000"/>
                <w:sz w:val="20"/>
                <w:szCs w:val="20"/>
              </w:rPr>
              <w:t xml:space="preserve"> витрат на персонал, включала заробiтну плату i додатковi поточнi премiї, i становила 793 тис. грн., у 2016 роцi – 628 тис. грн.</w:t>
            </w:r>
            <w:r>
              <w:rPr>
                <w:rFonts w:eastAsia="Times New Roman"/>
                <w:color w:val="000000"/>
                <w:sz w:val="20"/>
                <w:szCs w:val="20"/>
              </w:rPr>
              <w:br/>
              <w:t>Дивiденди</w:t>
            </w:r>
            <w:r>
              <w:rPr>
                <w:rFonts w:eastAsia="Times New Roman"/>
                <w:color w:val="000000"/>
                <w:sz w:val="20"/>
                <w:szCs w:val="20"/>
              </w:rPr>
              <w:br/>
              <w:t xml:space="preserve">Дивiденди за попереднi роки, виплаченi у 2017 роцi, в сумi 907 тисяч гривень. </w:t>
            </w:r>
            <w:r>
              <w:rPr>
                <w:rFonts w:eastAsia="Times New Roman"/>
                <w:color w:val="000000"/>
                <w:sz w:val="20"/>
                <w:szCs w:val="20"/>
              </w:rPr>
              <w:br/>
            </w:r>
            <w:r>
              <w:rPr>
                <w:rFonts w:eastAsia="Times New Roman"/>
                <w:color w:val="000000"/>
                <w:sz w:val="20"/>
                <w:szCs w:val="20"/>
              </w:rPr>
              <w:lastRenderedPageBreak/>
              <w:t>27. Умовнi та контрактнi зобов’язання</w:t>
            </w:r>
            <w:r>
              <w:rPr>
                <w:rFonts w:eastAsia="Times New Roman"/>
                <w:color w:val="000000"/>
                <w:sz w:val="20"/>
                <w:szCs w:val="20"/>
              </w:rPr>
              <w:br/>
              <w:t>Операцiйне середовище – Основну господарську дiяльнiсть Товариство провадить на територiї України. На ринки країн, якi розвиваються, наприклад, України, впливають економiчнi, полiтичнi, соцiальнi, правовi та законодавчi ризики, якi сильно вiдрiзняються вiд ризикiв країн iз бiльш розвинутими ринками. Вiдсутнiсть чiткої стратегiї економiчних реформ, iнституцiйнi слабкостi та несприятливий бiзнес-клiмат призвели до суттєвого скорочення надходжень вiд прямих iноземних iнвестицiй та нещодавнього зниження суверенного рейтингу України. Як результат, пiдприємства, якi провадять свою операцiйну дiяльнiсть в Українi, зазнають впливу пiдвищеного ризику девальвацiї української гривнi та вiдсутностi доступу до недорогого фiнансування. Полiтична криза, яка продовжується у країнi, iще бiльше погiршує фiнансову та економiчну ситуацiю України. Iнфляцiя в Українi за офiцiйними даними в 2017 роцi становила 113,7%. Якщо урядом не буде вжито чiтких i негайних заходiв, спрямованих на покращення системи управлiння, вiдновлення довiри iнвесторiв та виправлення економiчних дисбалансiв, пiдприємства, якi провадять свою дiяльнiсть в Українi, продовжуватимуть зазнавати негативного впливу вiд цих факторiв на свою операцiйну дiяльнiсть.</w:t>
            </w:r>
            <w:r>
              <w:rPr>
                <w:rFonts w:eastAsia="Times New Roman"/>
                <w:color w:val="000000"/>
                <w:sz w:val="20"/>
                <w:szCs w:val="20"/>
              </w:rPr>
              <w:br/>
              <w:t>Оподаткування – У результатi загалом нестабiльної економiчної ситуацiї в Українi податковi органи придiляють все бiльше уваги дiловим колам. У зв’язку з цим податкова ситуацiя в Українi, як на мiсцевому рiвнi, так i на загальнодержавному рiвнi, постiйно змiнюється, i закони застосовуються, тлумачаться та впроваджуються непослiдовно. Невиконання вимог українського законодавства та нормативних актiв може призвести до накладання суттєвих штрафiв та пенi. У результатi майбутнiх податкових перевiрок можуть бути виявленi додатковi зобов’язання, якi можуть не вiдповiдати податковiй звiтностi Товариства. Такими зобов’язаннями можуть бути власне податки, а також штрафи, пеня та вiдсотки, розмiри яких можуть бути суттєвими. Незважаючи на те що, на думку Товариства, воно виконує вимоги українського податкового законодавства, за останнi роки було прийнято багато нових законiв та нормативних актiв щодо оподаткування та валютного регулювання, якi не завжди чiтко сформульованi.</w:t>
            </w:r>
            <w:r>
              <w:rPr>
                <w:rFonts w:eastAsia="Times New Roman"/>
                <w:color w:val="000000"/>
                <w:sz w:val="20"/>
                <w:szCs w:val="20"/>
              </w:rPr>
              <w:br/>
              <w:t>Вплив держави на дiяльнiсть Товариства - Функцiонування електроенергетичної галузi є надзвичайно важливим для України з ряду причин, до яких належать економiчнi, стратегiчнi чинники та мiркування державної безпеки. Український Уряд має можливiсть значного впливу на дiяльнiсть Товариства за рахунок права власностi. Такий контроль може бути результатом соцiальних та економiчних iнiцiатив, що може негативним чином вплинути на поточну та майбутню дiяльнiсть Товариства. Керiвництво не може оцiнити рiвень контролю, що може мати мiсце в майбутньому, та потенцiйний вплив на фiнансовий стан та результати дiяльностi Товариства.</w:t>
            </w:r>
            <w:r>
              <w:rPr>
                <w:rFonts w:eastAsia="Times New Roman"/>
                <w:color w:val="000000"/>
                <w:sz w:val="20"/>
                <w:szCs w:val="20"/>
              </w:rPr>
              <w:br/>
              <w:t>Страхування - Товариство не має повного страхового покриття щодо свого виробничого обладнання на випадок переривання дiяльностi або виникнення зобов’язання перед третьою стороною у зв’язку зi шкодою, заподiяною майну чи навколишньому середовищу у результатi аварiй, пов’язаних з майном чи дiяльнiстю Товариства. За вiдсутностi достатнього страхового покриття iснує ризик того, що втрата чи знищення тих чи iнших активiв може мати значний негативний вплив на дiяльнiсть та фiнансовий стан Товариства.</w:t>
            </w:r>
            <w:r>
              <w:rPr>
                <w:rFonts w:eastAsia="Times New Roman"/>
                <w:color w:val="000000"/>
                <w:sz w:val="20"/>
                <w:szCs w:val="20"/>
              </w:rPr>
              <w:br/>
              <w:t>Лiцензування - Товариство здiйснює свою основну дiяльнiсть на основi лiцензiї на право провадження господарської дiяльностi з виробництва електричної енергiї на територiї, де розташованi власнi мiсцевi (локальнi) електричнi мережi та лiцензiї на право провадження господарської дiяльностi з постачання електричної енергiї за нерегульованим тарифом на територiї, де розташованi власнi мiсцевi (локальнi) електричнi мережi серiї АГ №579671 вiд 15 лютого 2012 року та серiї АГ №579672 вiд 15 лютого 2012 року вiдповiдно. Обидвi лiцензiї безстроковi.</w:t>
            </w:r>
            <w:r>
              <w:rPr>
                <w:rFonts w:eastAsia="Times New Roman"/>
                <w:color w:val="000000"/>
                <w:sz w:val="20"/>
                <w:szCs w:val="20"/>
              </w:rPr>
              <w:br/>
              <w:t xml:space="preserve">Судовi </w:t>
            </w:r>
            <w:proofErr w:type="gramStart"/>
            <w:r>
              <w:rPr>
                <w:rFonts w:eastAsia="Times New Roman"/>
                <w:color w:val="000000"/>
                <w:sz w:val="20"/>
                <w:szCs w:val="20"/>
              </w:rPr>
              <w:t>позови За</w:t>
            </w:r>
            <w:proofErr w:type="gramEnd"/>
            <w:r>
              <w:rPr>
                <w:rFonts w:eastAsia="Times New Roman"/>
                <w:color w:val="000000"/>
                <w:sz w:val="20"/>
                <w:szCs w:val="20"/>
              </w:rPr>
              <w:t xml:space="preserve"> перiод, що закiнчився 31 грудня 2017 року, та протягом попереднiх перiодiв Товариство не мало умовних зобов’язань, якi потребують висвiтлення у звiтностi.</w:t>
            </w:r>
            <w:r>
              <w:rPr>
                <w:rFonts w:eastAsia="Times New Roman"/>
                <w:color w:val="000000"/>
                <w:sz w:val="20"/>
                <w:szCs w:val="20"/>
              </w:rPr>
              <w:br/>
              <w:t xml:space="preserve">28. Подiї пiсля звiтного перiоду </w:t>
            </w:r>
            <w:r>
              <w:rPr>
                <w:rFonts w:eastAsia="Times New Roman"/>
                <w:color w:val="000000"/>
                <w:sz w:val="20"/>
                <w:szCs w:val="20"/>
              </w:rPr>
              <w:br/>
              <w:t>Пiсля звiтного перiоду до дати випуску цiєї звiтностi не вiдбулося подiй, якi б Товариство повинно було розкрити в цiй фiнансовiй звiтностi.</w:t>
            </w:r>
            <w:r>
              <w:rPr>
                <w:rFonts w:eastAsia="Times New Roman"/>
                <w:color w:val="000000"/>
                <w:sz w:val="20"/>
                <w:szCs w:val="20"/>
              </w:rPr>
              <w:br/>
            </w:r>
            <w:r>
              <w:rPr>
                <w:rFonts w:eastAsia="Times New Roman"/>
                <w:color w:val="000000"/>
                <w:sz w:val="20"/>
                <w:szCs w:val="20"/>
              </w:rPr>
              <w:br/>
              <w:t>29. Затвердження фiнансової звiтностi</w:t>
            </w:r>
            <w:r>
              <w:rPr>
                <w:rFonts w:eastAsia="Times New Roman"/>
                <w:color w:val="000000"/>
                <w:sz w:val="20"/>
                <w:szCs w:val="20"/>
              </w:rPr>
              <w:br/>
              <w:t>Цей фiнансовий звiт Товариства станом на 31 грудня 2017р. та за рiк, що закiнчився на зазначену дату, затверджений вiд управлiнського персоналу Товариства до випуску 21 лютого 2018 року.</w:t>
            </w:r>
            <w:r>
              <w:rPr>
                <w:rFonts w:eastAsia="Times New Roman"/>
                <w:color w:val="000000"/>
                <w:sz w:val="20"/>
                <w:szCs w:val="20"/>
              </w:rPr>
              <w:br/>
            </w:r>
            <w:r>
              <w:rPr>
                <w:rFonts w:eastAsia="Times New Roman"/>
                <w:color w:val="000000"/>
                <w:sz w:val="20"/>
                <w:szCs w:val="20"/>
              </w:rPr>
              <w:br/>
              <w:t>Генеральний директор Лунiн Сергiй Сергiйович</w:t>
            </w:r>
            <w:r>
              <w:rPr>
                <w:rFonts w:eastAsia="Times New Roman"/>
                <w:color w:val="000000"/>
                <w:sz w:val="20"/>
                <w:szCs w:val="20"/>
              </w:rPr>
              <w:br/>
            </w:r>
            <w:r>
              <w:rPr>
                <w:rFonts w:eastAsia="Times New Roman"/>
                <w:color w:val="000000"/>
                <w:sz w:val="20"/>
                <w:szCs w:val="20"/>
              </w:rPr>
              <w:br/>
              <w:t>Головний бухгалтер Шевчишена Нiна Павлiвна</w:t>
            </w:r>
          </w:p>
        </w:tc>
      </w:tr>
      <w:tr w:rsidR="00DB387B">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DB387B">
            <w:pPr>
              <w:rPr>
                <w:rFonts w:eastAsia="Times New Roman"/>
                <w:color w:val="000000"/>
                <w:sz w:val="20"/>
                <w:szCs w:val="20"/>
              </w:rPr>
            </w:pPr>
          </w:p>
        </w:tc>
      </w:tr>
    </w:tbl>
    <w:p w:rsidR="00DB387B" w:rsidRDefault="00ED4C9B">
      <w:pPr>
        <w:pStyle w:val="small-text"/>
        <w:rPr>
          <w:color w:val="000000"/>
        </w:rPr>
      </w:pPr>
      <w:r>
        <w:rPr>
          <w:color w:val="000000"/>
        </w:rPr>
        <w:t>* Зазначаються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Pr>
          <w:color w:val="000000"/>
        </w:rPr>
        <w:br/>
        <w:t>** Заповнюється емітентами – професійними учасниками ринку цінних паперів.</w:t>
      </w:r>
    </w:p>
    <w:p w:rsidR="00DB387B" w:rsidRDefault="00DB387B">
      <w:pPr>
        <w:rPr>
          <w:rFonts w:eastAsia="Times New Roman"/>
          <w:color w:val="000000"/>
        </w:rPr>
        <w:sectPr w:rsidR="00DB387B">
          <w:pgSz w:w="11907" w:h="16840"/>
          <w:pgMar w:top="1134" w:right="851" w:bottom="851" w:left="851" w:header="0" w:footer="0" w:gutter="0"/>
          <w:cols w:space="720"/>
        </w:sectPr>
      </w:pPr>
    </w:p>
    <w:p w:rsidR="00DB387B" w:rsidRDefault="00ED4C9B">
      <w:pPr>
        <w:pStyle w:val="3"/>
        <w:rPr>
          <w:rFonts w:eastAsia="Times New Roman"/>
          <w:color w:val="000000"/>
        </w:rPr>
      </w:pPr>
      <w:r>
        <w:rPr>
          <w:rFonts w:eastAsia="Times New Roman"/>
          <w:color w:val="000000"/>
        </w:rPr>
        <w:lastRenderedPageBreak/>
        <w:t>Інформація про стан корпоративного управління</w:t>
      </w:r>
    </w:p>
    <w:p w:rsidR="00DB387B" w:rsidRDefault="00ED4C9B">
      <w:pPr>
        <w:pStyle w:val="3"/>
        <w:rPr>
          <w:rFonts w:eastAsia="Times New Roman"/>
          <w:color w:val="000000"/>
        </w:rPr>
      </w:pPr>
      <w:r>
        <w:rPr>
          <w:rFonts w:eastAsia="Times New Roman"/>
          <w:color w:val="000000"/>
        </w:rPr>
        <w:t>ЗАГАЛЬНІ ЗБОРИ АКЦІОНЕРІВ</w:t>
      </w:r>
    </w:p>
    <w:p w:rsidR="00DB387B" w:rsidRDefault="00ED4C9B">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18"/>
        <w:gridCol w:w="2038"/>
        <w:gridCol w:w="4076"/>
        <w:gridCol w:w="3057"/>
      </w:tblGrid>
      <w:tr w:rsidR="00DB387B">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bl>
    <w:p w:rsidR="00DB387B" w:rsidRDefault="00DB387B">
      <w:pPr>
        <w:rPr>
          <w:rFonts w:eastAsia="Times New Roman"/>
          <w:color w:val="000000"/>
        </w:rPr>
      </w:pPr>
    </w:p>
    <w:p w:rsidR="00DB387B" w:rsidRDefault="00ED4C9B">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DB387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Інше (запишіть): Збори, якi скликалися у 2015 роцi не вiдбулися у зв'язку iз вiдсутнiстю кворуму.</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r>
    </w:tbl>
    <w:p w:rsidR="00DB387B" w:rsidRDefault="00DB387B">
      <w:pPr>
        <w:rPr>
          <w:rFonts w:eastAsia="Times New Roman"/>
          <w:color w:val="000000"/>
        </w:rPr>
      </w:pPr>
    </w:p>
    <w:p w:rsidR="00DB387B" w:rsidRDefault="00ED4C9B">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DB387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bl>
    <w:p w:rsidR="00DB387B" w:rsidRDefault="00DB387B">
      <w:pPr>
        <w:rPr>
          <w:rFonts w:eastAsia="Times New Roman"/>
          <w:color w:val="000000"/>
        </w:rPr>
      </w:pPr>
    </w:p>
    <w:p w:rsidR="00DB387B" w:rsidRDefault="00ED4C9B">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DB387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Інше (запишіть): Iнша iнформацiя вiдсутня.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r>
    </w:tbl>
    <w:p w:rsidR="00DB387B" w:rsidRDefault="00DB387B">
      <w:pPr>
        <w:rPr>
          <w:rFonts w:eastAsia="Times New Roman"/>
          <w:color w:val="000000"/>
        </w:rPr>
      </w:pPr>
    </w:p>
    <w:p w:rsidR="00DB387B" w:rsidRDefault="00ED4C9B">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DB387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Унесення змін </w:t>
            </w:r>
            <w:proofErr w:type="gramStart"/>
            <w:r>
              <w:rPr>
                <w:rFonts w:eastAsia="Times New Roman"/>
                <w:color w:val="000000"/>
                <w:sz w:val="20"/>
                <w:szCs w:val="20"/>
              </w:rPr>
              <w:t>до статуту</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Інше (запишіть): Прийняття рiшення про змiну найменування товариства.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45"/>
        <w:gridCol w:w="360"/>
      </w:tblGrid>
      <w:tr w:rsidR="00DB387B">
        <w:tc>
          <w:tcPr>
            <w:tcW w:w="0" w:type="auto"/>
            <w:tcMar>
              <w:top w:w="60" w:type="dxa"/>
              <w:left w:w="60" w:type="dxa"/>
              <w:bottom w:w="60" w:type="dxa"/>
              <w:right w:w="60" w:type="dxa"/>
            </w:tcMar>
            <w:vAlign w:val="center"/>
            <w:hideMark/>
          </w:tcPr>
          <w:p w:rsidR="00DB387B" w:rsidRDefault="00ED4C9B">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Ні</w:t>
            </w:r>
          </w:p>
        </w:tc>
      </w:tr>
    </w:tbl>
    <w:p w:rsidR="00DB387B" w:rsidRDefault="00ED4C9B">
      <w:pPr>
        <w:pStyle w:val="4"/>
        <w:jc w:val="left"/>
        <w:rPr>
          <w:rFonts w:eastAsia="Times New Roman"/>
          <w:color w:val="000000"/>
        </w:rPr>
      </w:pPr>
      <w:r>
        <w:rPr>
          <w:rFonts w:eastAsia="Times New Roman"/>
          <w:color w:val="000000"/>
        </w:rPr>
        <w:t>У разі скликання позачергових загальних зборів зазначаються їх ініціатори:</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DB387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Акціонери (акціонер), які на день подання вимоги сукупно є власниками 10 і більше відсотків простих акцій товариства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Мiнiстерство енергетики та вугiльної промисловостi України, акцiонер, що володiє 87,4% акцiй товариства, iнiцiював скликання позачергових загальних зборiв.</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Інше (зазначити)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Iнша iнформацiя вiдсутня.</w:t>
            </w:r>
          </w:p>
        </w:tc>
      </w:tr>
    </w:tbl>
    <w:p w:rsidR="00DB387B" w:rsidRDefault="00DB387B">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7925"/>
        <w:gridCol w:w="2280"/>
      </w:tblGrid>
      <w:tr w:rsidR="00DB387B">
        <w:tc>
          <w:tcPr>
            <w:tcW w:w="0" w:type="auto"/>
            <w:tcMar>
              <w:top w:w="60" w:type="dxa"/>
              <w:left w:w="60" w:type="dxa"/>
              <w:bottom w:w="60" w:type="dxa"/>
              <w:right w:w="60" w:type="dxa"/>
            </w:tcMar>
            <w:vAlign w:val="center"/>
            <w:hideMark/>
          </w:tcPr>
          <w:p w:rsidR="00DB387B" w:rsidRDefault="00ED4C9B">
            <w:pPr>
              <w:rPr>
                <w:rFonts w:eastAsia="Times New Roman"/>
                <w:b/>
                <w:bCs/>
                <w:color w:val="000000"/>
              </w:rPr>
            </w:pPr>
            <w:r>
              <w:rPr>
                <w:rFonts w:eastAsia="Times New Roman"/>
                <w:b/>
                <w:bCs/>
                <w:color w:val="000000"/>
              </w:rPr>
              <w:t>У разі скликання, але не проведення чергових загальних зборів зазначається причина їх непроведення</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Iнша iнформацiя вiдсутня.</w:t>
            </w:r>
          </w:p>
        </w:tc>
      </w:tr>
    </w:tbl>
    <w:p w:rsidR="00DB387B" w:rsidRDefault="00DB387B">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7966"/>
        <w:gridCol w:w="2239"/>
      </w:tblGrid>
      <w:tr w:rsidR="00DB387B">
        <w:tc>
          <w:tcPr>
            <w:tcW w:w="0" w:type="auto"/>
            <w:tcMar>
              <w:top w:w="60" w:type="dxa"/>
              <w:left w:w="60" w:type="dxa"/>
              <w:bottom w:w="60" w:type="dxa"/>
              <w:right w:w="60" w:type="dxa"/>
            </w:tcMar>
            <w:vAlign w:val="center"/>
            <w:hideMark/>
          </w:tcPr>
          <w:p w:rsidR="00DB387B" w:rsidRDefault="00ED4C9B">
            <w:pPr>
              <w:rPr>
                <w:rFonts w:eastAsia="Times New Roman"/>
                <w:b/>
                <w:bCs/>
                <w:color w:val="000000"/>
              </w:rPr>
            </w:pPr>
            <w:r>
              <w:rPr>
                <w:rFonts w:eastAsia="Times New Roman"/>
                <w:b/>
                <w:bCs/>
                <w:color w:val="000000"/>
              </w:rPr>
              <w:t>У разі скликання, але не проведення позачергових загальних зборів зазначається причина їх непроведення</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Iнша iнформацiя вiдсутня.</w:t>
            </w:r>
          </w:p>
        </w:tc>
      </w:tr>
    </w:tbl>
    <w:p w:rsidR="00DB387B" w:rsidRDefault="00ED4C9B">
      <w:pPr>
        <w:pStyle w:val="3"/>
        <w:rPr>
          <w:rFonts w:eastAsia="Times New Roman"/>
          <w:color w:val="000000"/>
        </w:rPr>
      </w:pPr>
      <w:r>
        <w:rPr>
          <w:rFonts w:eastAsia="Times New Roman"/>
          <w:color w:val="000000"/>
        </w:rPr>
        <w:t>ОРГАНИ УПРАВЛІННЯ</w:t>
      </w:r>
    </w:p>
    <w:p w:rsidR="00DB387B" w:rsidRDefault="00ED4C9B">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661"/>
        <w:gridCol w:w="1528"/>
      </w:tblGrid>
      <w:tr w:rsidR="00DB387B">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(осіб)</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Кількість членів наглядової ради,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5</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членів наглядової ради -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членів наглядової ради - представників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5</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членів наглядової ради - незалежних директорів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членів наглядової ради -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членів наглядової ради -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5</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bl>
    <w:p w:rsidR="00DB387B" w:rsidRDefault="00DB387B">
      <w:pPr>
        <w:rPr>
          <w:rFonts w:eastAsia="Times New Roman"/>
          <w:color w:val="000000"/>
        </w:rPr>
      </w:pPr>
    </w:p>
    <w:p w:rsidR="00DB387B" w:rsidRDefault="00ED4C9B">
      <w:pPr>
        <w:pStyle w:val="4"/>
        <w:jc w:val="left"/>
        <w:rPr>
          <w:rFonts w:eastAsia="Times New Roman"/>
          <w:color w:val="000000"/>
        </w:rPr>
      </w:pPr>
      <w:r>
        <w:rPr>
          <w:rFonts w:eastAsia="Times New Roman"/>
          <w:color w:val="000000"/>
        </w:rPr>
        <w:t>Чи проводила наглядова рада самооцінку?</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DB387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lastRenderedPageBreak/>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Iншi вiдомостi вiдсутнi.</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Iншi вiдомостi вiдсутнi.</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45"/>
        <w:gridCol w:w="360"/>
      </w:tblGrid>
      <w:tr w:rsidR="00DB387B">
        <w:tc>
          <w:tcPr>
            <w:tcW w:w="0" w:type="auto"/>
            <w:tcMar>
              <w:top w:w="60" w:type="dxa"/>
              <w:left w:w="60" w:type="dxa"/>
              <w:bottom w:w="60" w:type="dxa"/>
              <w:right w:w="60" w:type="dxa"/>
            </w:tcMar>
            <w:vAlign w:val="center"/>
            <w:hideMark/>
          </w:tcPr>
          <w:p w:rsidR="00DB387B" w:rsidRDefault="00ED4C9B">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14</w:t>
            </w:r>
          </w:p>
        </w:tc>
      </w:tr>
    </w:tbl>
    <w:p w:rsidR="00DB387B" w:rsidRDefault="00DB387B">
      <w:pPr>
        <w:rPr>
          <w:rFonts w:eastAsia="Times New Roman"/>
          <w:color w:val="000000"/>
        </w:rPr>
      </w:pPr>
    </w:p>
    <w:p w:rsidR="00DB387B" w:rsidRDefault="00ED4C9B">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DB387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Вiдомостi про створення у складi Наглядової ради комiтетiв вiдсутнi.</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Вiдомостi про створення у складi Наглядової ради комiтетiв вiдсутнi.</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Iнформацiя вiдсутня.</w:t>
            </w:r>
          </w:p>
        </w:tc>
      </w:tr>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rPr>
                <w:rFonts w:eastAsia="Times New Roman"/>
                <w:color w:val="000000"/>
              </w:rPr>
            </w:pPr>
            <w:r>
              <w:rPr>
                <w:rFonts w:eastAsia="Times New Roman"/>
                <w:color w:val="000000"/>
              </w:rPr>
              <w:t>Iнформацiя вiдсутня.</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715"/>
        <w:gridCol w:w="490"/>
      </w:tblGrid>
      <w:tr w:rsidR="00DB387B">
        <w:tc>
          <w:tcPr>
            <w:tcW w:w="0" w:type="auto"/>
            <w:tcMar>
              <w:top w:w="60" w:type="dxa"/>
              <w:left w:w="60" w:type="dxa"/>
              <w:bottom w:w="60" w:type="dxa"/>
              <w:right w:w="60" w:type="dxa"/>
            </w:tcMar>
            <w:vAlign w:val="center"/>
            <w:hideMark/>
          </w:tcPr>
          <w:p w:rsidR="00DB387B" w:rsidRDefault="00ED4C9B">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Так</w:t>
            </w:r>
          </w:p>
        </w:tc>
      </w:tr>
    </w:tbl>
    <w:p w:rsidR="00DB387B" w:rsidRDefault="00DB387B">
      <w:pPr>
        <w:rPr>
          <w:rFonts w:eastAsia="Times New Roman"/>
          <w:color w:val="000000"/>
        </w:rPr>
      </w:pPr>
    </w:p>
    <w:p w:rsidR="00DB387B" w:rsidRDefault="00ED4C9B">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DB387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Винагорода членiв Наглядової ради не передбачена, оскiльки вони є державними службовцями.</w:t>
            </w:r>
          </w:p>
        </w:tc>
      </w:tr>
    </w:tbl>
    <w:p w:rsidR="00DB387B" w:rsidRDefault="00DB387B">
      <w:pPr>
        <w:rPr>
          <w:rFonts w:eastAsia="Times New Roman"/>
          <w:color w:val="000000"/>
        </w:rPr>
      </w:pPr>
    </w:p>
    <w:p w:rsidR="00DB387B" w:rsidRDefault="00ED4C9B">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DB387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lastRenderedPageBreak/>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Інше (запишіть): Iншi вiдомостi вiдсутнi.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bl>
    <w:p w:rsidR="00DB387B" w:rsidRDefault="00DB387B">
      <w:pPr>
        <w:rPr>
          <w:rFonts w:eastAsia="Times New Roman"/>
          <w:color w:val="000000"/>
        </w:rPr>
      </w:pPr>
    </w:p>
    <w:p w:rsidR="00DB387B" w:rsidRDefault="00ED4C9B">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DB387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Останнiй склад наглядової ради було обрано 25 квiтня 2017 року загальними зборами акцiонерiв. Iншi вiдомостi вiдсутнi.</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8209"/>
        <w:gridCol w:w="1996"/>
      </w:tblGrid>
      <w:tr w:rsidR="00DB387B">
        <w:tc>
          <w:tcPr>
            <w:tcW w:w="0" w:type="auto"/>
            <w:tcMar>
              <w:top w:w="60" w:type="dxa"/>
              <w:left w:w="60" w:type="dxa"/>
              <w:bottom w:w="60" w:type="dxa"/>
              <w:right w:w="60" w:type="dxa"/>
            </w:tcMar>
            <w:vAlign w:val="center"/>
            <w:hideMark/>
          </w:tcPr>
          <w:p w:rsidR="00DB387B" w:rsidRDefault="00ED4C9B">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так, створено ревізійну комісію</w:t>
            </w:r>
          </w:p>
        </w:tc>
      </w:tr>
    </w:tbl>
    <w:p w:rsidR="00DB387B" w:rsidRDefault="00ED4C9B">
      <w:pPr>
        <w:pStyle w:val="4"/>
        <w:jc w:val="left"/>
        <w:rPr>
          <w:rFonts w:eastAsia="Times New Roman"/>
          <w:color w:val="000000"/>
        </w:rPr>
      </w:pPr>
      <w:r>
        <w:rPr>
          <w:rFonts w:eastAsia="Times New Roman"/>
          <w:color w:val="000000"/>
        </w:rPr>
        <w:t>Якщо в товаристві створено ревізійну комісію:</w:t>
      </w:r>
    </w:p>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DB387B">
        <w:tc>
          <w:tcPr>
            <w:tcW w:w="0" w:type="auto"/>
            <w:tcMar>
              <w:top w:w="60" w:type="dxa"/>
              <w:left w:w="60" w:type="dxa"/>
              <w:bottom w:w="60" w:type="dxa"/>
              <w:right w:w="60" w:type="dxa"/>
            </w:tcMar>
            <w:vAlign w:val="center"/>
            <w:hideMark/>
          </w:tcPr>
          <w:p w:rsidR="00DB387B" w:rsidRDefault="00ED4C9B">
            <w:pPr>
              <w:rPr>
                <w:rFonts w:eastAsia="Times New Roman"/>
                <w:b/>
                <w:bCs/>
                <w:color w:val="000000"/>
              </w:rPr>
            </w:pPr>
            <w:r>
              <w:rPr>
                <w:rFonts w:eastAsia="Times New Roman"/>
                <w:b/>
                <w:bCs/>
                <w:color w:val="000000"/>
              </w:rPr>
              <w:t>кількість членів ревізійної комісії 3 осіб;</w:t>
            </w:r>
          </w:p>
        </w:tc>
      </w:tr>
      <w:tr w:rsidR="00DB387B">
        <w:tc>
          <w:tcPr>
            <w:tcW w:w="0" w:type="auto"/>
            <w:tcMar>
              <w:top w:w="60" w:type="dxa"/>
              <w:left w:w="60" w:type="dxa"/>
              <w:bottom w:w="60" w:type="dxa"/>
              <w:right w:w="60" w:type="dxa"/>
            </w:tcMar>
            <w:vAlign w:val="center"/>
            <w:hideMark/>
          </w:tcPr>
          <w:p w:rsidR="00DB387B" w:rsidRDefault="00ED4C9B">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6</w:t>
            </w:r>
          </w:p>
        </w:tc>
      </w:tr>
    </w:tbl>
    <w:p w:rsidR="00DB387B" w:rsidRDefault="00DB387B">
      <w:pPr>
        <w:rPr>
          <w:rFonts w:eastAsia="Times New Roman"/>
          <w:color w:val="000000"/>
        </w:rPr>
      </w:pPr>
    </w:p>
    <w:p w:rsidR="00DB387B" w:rsidRDefault="00ED4C9B">
      <w:pPr>
        <w:pStyle w:val="4"/>
        <w:jc w:val="left"/>
        <w:rPr>
          <w:rFonts w:eastAsia="Times New Roman"/>
          <w:color w:val="000000"/>
        </w:rPr>
      </w:pPr>
      <w:r>
        <w:rPr>
          <w:rFonts w:eastAsia="Times New Roman"/>
          <w:color w:val="000000"/>
        </w:rPr>
        <w:t xml:space="preserve">Відповідно </w:t>
      </w:r>
      <w:proofErr w:type="gramStart"/>
      <w:r>
        <w:rPr>
          <w:rFonts w:eastAsia="Times New Roman"/>
          <w:color w:val="000000"/>
        </w:rPr>
        <w:t>до статуту</w:t>
      </w:r>
      <w:proofErr w:type="gramEnd"/>
      <w:r>
        <w:rPr>
          <w:rFonts w:eastAsia="Times New Roman"/>
          <w:color w:val="000000"/>
        </w:rPr>
        <w:t xml:space="preserve">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416"/>
        <w:gridCol w:w="1085"/>
        <w:gridCol w:w="1096"/>
        <w:gridCol w:w="1251"/>
        <w:gridCol w:w="1341"/>
      </w:tblGrid>
      <w:tr w:rsidR="00DB387B">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lastRenderedPageBreak/>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DB387B">
        <w:tc>
          <w:tcPr>
            <w:tcW w:w="0" w:type="auto"/>
            <w:tcMar>
              <w:top w:w="60" w:type="dxa"/>
              <w:left w:w="60" w:type="dxa"/>
              <w:bottom w:w="60" w:type="dxa"/>
              <w:right w:w="60" w:type="dxa"/>
            </w:tcMar>
            <w:vAlign w:val="center"/>
            <w:hideMark/>
          </w:tcPr>
          <w:p w:rsidR="00DB387B" w:rsidRDefault="00ED4C9B">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DB387B">
        <w:tc>
          <w:tcPr>
            <w:tcW w:w="0" w:type="auto"/>
            <w:tcMar>
              <w:top w:w="60" w:type="dxa"/>
              <w:left w:w="60" w:type="dxa"/>
              <w:bottom w:w="60" w:type="dxa"/>
              <w:right w:w="60" w:type="dxa"/>
            </w:tcMar>
            <w:vAlign w:val="center"/>
            <w:hideMark/>
          </w:tcPr>
          <w:p w:rsidR="00DB387B" w:rsidRDefault="00ED4C9B">
            <w:pPr>
              <w:rPr>
                <w:rFonts w:eastAsia="Times New Roman"/>
                <w:b/>
                <w:bCs/>
                <w:color w:val="000000"/>
              </w:rPr>
            </w:pPr>
            <w:r>
              <w:rPr>
                <w:rFonts w:eastAsia="Times New Roman"/>
                <w:b/>
                <w:bCs/>
                <w:color w:val="000000"/>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w:t>
            </w:r>
            <w:proofErr w:type="gramStart"/>
            <w:r>
              <w:rPr>
                <w:rFonts w:eastAsia="Times New Roman"/>
                <w:b/>
                <w:bCs/>
                <w:color w:val="000000"/>
              </w:rPr>
              <w:t>товариства?(</w:t>
            </w:r>
            <w:proofErr w:type="gramEnd"/>
            <w:r>
              <w:rPr>
                <w:rFonts w:eastAsia="Times New Roman"/>
                <w:b/>
                <w:bCs/>
                <w:color w:val="000000"/>
              </w:rPr>
              <w:t>так/ні) Так</w:t>
            </w:r>
          </w:p>
        </w:tc>
      </w:tr>
    </w:tbl>
    <w:p w:rsidR="00DB387B" w:rsidRDefault="00ED4C9B">
      <w:pPr>
        <w:rPr>
          <w:rFonts w:eastAsia="Times New Roman"/>
          <w:color w:val="000000"/>
        </w:rPr>
      </w:pPr>
      <w:r>
        <w:rPr>
          <w:rFonts w:eastAsia="Times New Roman"/>
          <w:color w:val="000000"/>
        </w:rPr>
        <w:br/>
      </w:r>
    </w:p>
    <w:p w:rsidR="00DB387B" w:rsidRDefault="00ED4C9B">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DB387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Iншi вiдомостi вiдсутнi.</w:t>
            </w:r>
          </w:p>
        </w:tc>
      </w:tr>
    </w:tbl>
    <w:p w:rsidR="00DB387B" w:rsidRDefault="00DB387B">
      <w:pPr>
        <w:rPr>
          <w:rFonts w:eastAsia="Times New Roman"/>
          <w:color w:val="000000"/>
        </w:rPr>
      </w:pPr>
    </w:p>
    <w:p w:rsidR="00DB387B" w:rsidRDefault="00ED4C9B">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658"/>
        <w:gridCol w:w="1811"/>
        <w:gridCol w:w="1814"/>
        <w:gridCol w:w="1407"/>
        <w:gridCol w:w="1139"/>
        <w:gridCol w:w="1360"/>
      </w:tblGrid>
      <w:tr w:rsidR="00DB387B">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lastRenderedPageBreak/>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Ні</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DB387B">
        <w:tc>
          <w:tcPr>
            <w:tcW w:w="0" w:type="auto"/>
            <w:tcMar>
              <w:top w:w="60" w:type="dxa"/>
              <w:left w:w="60" w:type="dxa"/>
              <w:bottom w:w="60" w:type="dxa"/>
              <w:right w:w="60" w:type="dxa"/>
            </w:tcMar>
            <w:vAlign w:val="center"/>
            <w:hideMark/>
          </w:tcPr>
          <w:p w:rsidR="00DB387B" w:rsidRDefault="00ED4C9B">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rsidR="00DB387B" w:rsidRDefault="00DB387B">
      <w:pPr>
        <w:rPr>
          <w:rFonts w:eastAsia="Times New Roman"/>
          <w:color w:val="000000"/>
        </w:rPr>
      </w:pPr>
    </w:p>
    <w:p w:rsidR="00DB387B" w:rsidRDefault="00ED4C9B">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DB387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bl>
    <w:p w:rsidR="00DB387B" w:rsidRDefault="00DB387B">
      <w:pPr>
        <w:rPr>
          <w:rFonts w:eastAsia="Times New Roman"/>
          <w:color w:val="000000"/>
        </w:rPr>
      </w:pPr>
    </w:p>
    <w:p w:rsidR="00DB387B" w:rsidRDefault="00ED4C9B">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DB387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Iншi вiдомостi вiдсутнi.</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DB387B">
        <w:tc>
          <w:tcPr>
            <w:tcW w:w="0" w:type="auto"/>
            <w:tcMar>
              <w:top w:w="60" w:type="dxa"/>
              <w:left w:w="60" w:type="dxa"/>
              <w:bottom w:w="60" w:type="dxa"/>
              <w:right w:w="60" w:type="dxa"/>
            </w:tcMar>
            <w:vAlign w:val="center"/>
            <w:hideMark/>
          </w:tcPr>
          <w:p w:rsidR="00DB387B" w:rsidRDefault="00ED4C9B">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Так</w:t>
            </w:r>
          </w:p>
        </w:tc>
      </w:tr>
    </w:tbl>
    <w:p w:rsidR="00DB387B" w:rsidRDefault="00DB387B">
      <w:pPr>
        <w:rPr>
          <w:rFonts w:eastAsia="Times New Roman"/>
          <w:color w:val="000000"/>
        </w:rPr>
      </w:pPr>
    </w:p>
    <w:p w:rsidR="00DB387B" w:rsidRDefault="00ED4C9B">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DB387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Iншi вiдомостi вiдсутнi.</w:t>
            </w:r>
          </w:p>
        </w:tc>
      </w:tr>
    </w:tbl>
    <w:p w:rsidR="00DB387B" w:rsidRDefault="00DB387B">
      <w:pPr>
        <w:rPr>
          <w:rFonts w:eastAsia="Times New Roman"/>
          <w:color w:val="000000"/>
        </w:rPr>
      </w:pPr>
    </w:p>
    <w:p w:rsidR="00DB387B" w:rsidRDefault="00ED4C9B">
      <w:pPr>
        <w:pStyle w:val="4"/>
        <w:jc w:val="left"/>
        <w:rPr>
          <w:rFonts w:eastAsia="Times New Roman"/>
          <w:color w:val="000000"/>
        </w:rPr>
      </w:pPr>
      <w:r>
        <w:rPr>
          <w:rFonts w:eastAsia="Times New Roman"/>
          <w:color w:val="000000"/>
        </w:rPr>
        <w:lastRenderedPageBreak/>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DB387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Iншi вiдомостi вiдсутнi.</w:t>
            </w:r>
          </w:p>
        </w:tc>
      </w:tr>
    </w:tbl>
    <w:p w:rsidR="00DB387B" w:rsidRDefault="00DB387B">
      <w:pPr>
        <w:rPr>
          <w:rFonts w:eastAsia="Times New Roman"/>
          <w:color w:val="000000"/>
        </w:rPr>
      </w:pPr>
    </w:p>
    <w:p w:rsidR="00DB387B" w:rsidRDefault="00ED4C9B">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DB387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Iншi вiдомостi вiдсутнi.</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DB387B">
        <w:tc>
          <w:tcPr>
            <w:tcW w:w="0" w:type="auto"/>
            <w:tcMar>
              <w:top w:w="60" w:type="dxa"/>
              <w:left w:w="60" w:type="dxa"/>
              <w:bottom w:w="60" w:type="dxa"/>
              <w:right w:w="60" w:type="dxa"/>
            </w:tcMar>
            <w:vAlign w:val="center"/>
            <w:hideMark/>
          </w:tcPr>
          <w:p w:rsidR="00DB387B" w:rsidRDefault="00ED4C9B">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Так</w:t>
            </w:r>
          </w:p>
        </w:tc>
      </w:tr>
    </w:tbl>
    <w:p w:rsidR="00DB387B" w:rsidRDefault="00ED4C9B">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DB387B" w:rsidRDefault="00ED4C9B">
      <w:pPr>
        <w:pStyle w:val="4"/>
        <w:jc w:val="left"/>
        <w:rPr>
          <w:rFonts w:eastAsia="Times New Roman"/>
          <w:color w:val="000000"/>
        </w:rPr>
      </w:pPr>
      <w:r>
        <w:rPr>
          <w:rFonts w:eastAsia="Times New Roman"/>
          <w:color w:val="000000"/>
        </w:rPr>
        <w:t>Чи планує ваше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DB387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Інше (запишіть): Iнформацiя щодо залучення iнвестицiй вiдсутня.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r>
    </w:tbl>
    <w:p w:rsidR="00DB387B" w:rsidRDefault="00DB387B">
      <w:pPr>
        <w:rPr>
          <w:rFonts w:eastAsia="Times New Roman"/>
          <w:color w:val="000000"/>
        </w:rPr>
      </w:pPr>
    </w:p>
    <w:p w:rsidR="00DB387B" w:rsidRDefault="00ED4C9B">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661"/>
        <w:gridCol w:w="1528"/>
      </w:tblGrid>
      <w:tr w:rsidR="00DB387B">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lastRenderedPageBreak/>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B387B" w:rsidRDefault="00ED4C9B">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rPr>
                <w:rFonts w:eastAsia="Times New Roman"/>
                <w:color w:val="000000"/>
                <w:sz w:val="20"/>
                <w:szCs w:val="20"/>
              </w:rPr>
            </w:pP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DB387B">
        <w:tc>
          <w:tcPr>
            <w:tcW w:w="0" w:type="auto"/>
            <w:tcMar>
              <w:top w:w="60" w:type="dxa"/>
              <w:left w:w="60" w:type="dxa"/>
              <w:bottom w:w="60" w:type="dxa"/>
              <w:right w:w="60" w:type="dxa"/>
            </w:tcMar>
            <w:vAlign w:val="center"/>
            <w:hideMark/>
          </w:tcPr>
          <w:p w:rsidR="00DB387B" w:rsidRDefault="00ED4C9B">
            <w:pPr>
              <w:rPr>
                <w:rFonts w:eastAsia="Times New Roman"/>
                <w:b/>
                <w:bCs/>
                <w:color w:val="000000"/>
              </w:rPr>
            </w:pPr>
            <w:r>
              <w:rPr>
                <w:rFonts w:eastAsia="Times New Roman"/>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Ні</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DB387B">
        <w:tc>
          <w:tcPr>
            <w:tcW w:w="0" w:type="auto"/>
            <w:tcMar>
              <w:top w:w="60" w:type="dxa"/>
              <w:left w:w="60" w:type="dxa"/>
              <w:bottom w:w="60" w:type="dxa"/>
              <w:right w:w="60" w:type="dxa"/>
            </w:tcMar>
            <w:vAlign w:val="center"/>
            <w:hideMark/>
          </w:tcPr>
          <w:p w:rsidR="00DB387B" w:rsidRDefault="00ED4C9B">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Так</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DB387B">
        <w:tc>
          <w:tcPr>
            <w:tcW w:w="0" w:type="auto"/>
            <w:tcMar>
              <w:top w:w="60" w:type="dxa"/>
              <w:left w:w="60" w:type="dxa"/>
              <w:bottom w:w="60" w:type="dxa"/>
              <w:right w:w="60" w:type="dxa"/>
            </w:tcMar>
            <w:vAlign w:val="center"/>
            <w:hideMark/>
          </w:tcPr>
          <w:p w:rsidR="00DB387B" w:rsidRDefault="00ED4C9B">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Ні</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DB387B">
        <w:tc>
          <w:tcPr>
            <w:tcW w:w="0" w:type="auto"/>
            <w:tcMar>
              <w:top w:w="60" w:type="dxa"/>
              <w:left w:w="60" w:type="dxa"/>
              <w:bottom w:w="60" w:type="dxa"/>
              <w:right w:w="60" w:type="dxa"/>
            </w:tcMar>
            <w:vAlign w:val="center"/>
            <w:hideMark/>
          </w:tcPr>
          <w:p w:rsidR="00DB387B" w:rsidRDefault="00ED4C9B">
            <w:pPr>
              <w:rPr>
                <w:rFonts w:eastAsia="Times New Roman"/>
                <w:b/>
                <w:bCs/>
                <w:color w:val="000000"/>
              </w:rPr>
            </w:pPr>
            <w:r>
              <w:rPr>
                <w:rFonts w:eastAsia="Times New Roman"/>
                <w:b/>
                <w:bCs/>
                <w:color w:val="000000"/>
              </w:rPr>
              <w:t>У разі наявності у акціонерного товариства кодексу (принципів, правил) корпоративного управління вкажіть дату його прийняття</w:t>
            </w:r>
            <w:proofErr w:type="gramStart"/>
            <w:r>
              <w:rPr>
                <w:rFonts w:eastAsia="Times New Roman"/>
                <w:b/>
                <w:bCs/>
                <w:color w:val="000000"/>
              </w:rPr>
              <w:t>: ;</w:t>
            </w:r>
            <w:proofErr w:type="gramEnd"/>
            <w:r>
              <w:rPr>
                <w:rFonts w:eastAsia="Times New Roman"/>
                <w:b/>
                <w:bCs/>
                <w:color w:val="000000"/>
              </w:rPr>
              <w:t xml:space="preserve"> яким органом управління прийнятий: Д/н </w:t>
            </w:r>
          </w:p>
        </w:tc>
      </w:tr>
      <w:tr w:rsidR="00DB387B">
        <w:tc>
          <w:tcPr>
            <w:tcW w:w="0" w:type="auto"/>
            <w:tcMar>
              <w:top w:w="60" w:type="dxa"/>
              <w:left w:w="60" w:type="dxa"/>
              <w:bottom w:w="60" w:type="dxa"/>
              <w:right w:w="60" w:type="dxa"/>
            </w:tcMar>
            <w:vAlign w:val="center"/>
            <w:hideMark/>
          </w:tcPr>
          <w:p w:rsidR="00DB387B" w:rsidRDefault="00ED4C9B">
            <w:pPr>
              <w:rPr>
                <w:rFonts w:eastAsia="Times New Roman"/>
                <w:b/>
                <w:bCs/>
                <w:color w:val="000000"/>
              </w:rPr>
            </w:pPr>
            <w:r>
              <w:rPr>
                <w:rFonts w:eastAsia="Times New Roman"/>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Д/н </w:t>
            </w:r>
          </w:p>
        </w:tc>
      </w:tr>
      <w:tr w:rsidR="00DB387B">
        <w:tc>
          <w:tcPr>
            <w:tcW w:w="0" w:type="auto"/>
            <w:tcMar>
              <w:top w:w="60" w:type="dxa"/>
              <w:left w:w="60" w:type="dxa"/>
              <w:bottom w:w="60" w:type="dxa"/>
              <w:right w:w="60" w:type="dxa"/>
            </w:tcMar>
            <w:vAlign w:val="center"/>
            <w:hideMark/>
          </w:tcPr>
          <w:p w:rsidR="00DB387B" w:rsidRDefault="00ED4C9B">
            <w:pPr>
              <w:rPr>
                <w:rFonts w:eastAsia="Times New Roman"/>
                <w:b/>
                <w:bCs/>
                <w:color w:val="000000"/>
              </w:rPr>
            </w:pPr>
            <w:r>
              <w:rPr>
                <w:rFonts w:eastAsia="Times New Roman"/>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Д/н.</w:t>
            </w:r>
          </w:p>
        </w:tc>
      </w:tr>
    </w:tbl>
    <w:p w:rsidR="00DB387B" w:rsidRDefault="00ED4C9B">
      <w:pPr>
        <w:rPr>
          <w:rFonts w:eastAsia="Times New Roman"/>
          <w:color w:val="000000"/>
        </w:rPr>
      </w:pPr>
      <w:r>
        <w:rPr>
          <w:rFonts w:eastAsia="Times New Roman"/>
          <w:color w:val="000000"/>
        </w:rPr>
        <w:br/>
      </w:r>
      <w:r>
        <w:rPr>
          <w:rFonts w:eastAsia="Times New Roman"/>
          <w:color w:val="000000"/>
        </w:rPr>
        <w:br/>
      </w:r>
    </w:p>
    <w:p w:rsidR="00DB387B" w:rsidRDefault="00DB387B">
      <w:pPr>
        <w:rPr>
          <w:rFonts w:eastAsia="Times New Roman"/>
          <w:color w:val="000000"/>
        </w:rPr>
        <w:sectPr w:rsidR="00DB387B">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DB387B">
        <w:tc>
          <w:tcPr>
            <w:tcW w:w="1000" w:type="pct"/>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КОДИ</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right"/>
              <w:rPr>
                <w:rFonts w:eastAsia="Times New Roman"/>
                <w:color w:val="000000"/>
              </w:rPr>
            </w:pPr>
            <w:proofErr w:type="gramStart"/>
            <w:r>
              <w:rPr>
                <w:rFonts w:eastAsia="Times New Roman"/>
                <w:color w:val="000000"/>
              </w:rPr>
              <w:t>Дата(</w:t>
            </w:r>
            <w:proofErr w:type="gramEnd"/>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2018 | 01 | 01</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Приватне акцiонерне товариство "Нижньоднiстровська ГЕС"</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30149623</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B387B" w:rsidRPr="00B34F2E" w:rsidRDefault="00B34F2E">
            <w:pPr>
              <w:rPr>
                <w:rFonts w:eastAsia="Times New Roman"/>
                <w:color w:val="000000"/>
                <w:lang w:val="uk-UA"/>
              </w:rPr>
            </w:pPr>
            <w:r>
              <w:rPr>
                <w:rFonts w:eastAsia="Times New Roman"/>
                <w:color w:val="000000"/>
                <w:lang w:val="uk-UA"/>
              </w:rPr>
              <w:t>Україна</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7310600000</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B387B" w:rsidRPr="00B34F2E" w:rsidRDefault="00B34F2E">
            <w:pPr>
              <w:rPr>
                <w:rFonts w:eastAsia="Times New Roman"/>
                <w:color w:val="000000"/>
                <w:lang w:val="uk-UA"/>
              </w:rPr>
            </w:pPr>
            <w:r>
              <w:rPr>
                <w:rFonts w:eastAsia="Times New Roman"/>
                <w:color w:val="000000"/>
                <w:lang w:val="uk-UA"/>
              </w:rPr>
              <w:t>Приватне акціонерне товариство</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230</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B387B" w:rsidRPr="00B34F2E" w:rsidRDefault="00B34F2E">
            <w:pPr>
              <w:rPr>
                <w:rFonts w:eastAsia="Times New Roman"/>
                <w:color w:val="000000"/>
                <w:lang w:val="uk-UA"/>
              </w:rPr>
            </w:pPr>
            <w:r>
              <w:rPr>
                <w:rFonts w:eastAsia="Times New Roman"/>
                <w:color w:val="000000"/>
                <w:lang w:val="uk-UA"/>
              </w:rPr>
              <w:t>Виробництво електроенергії</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35.11</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134</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color w:val="000000"/>
              </w:rPr>
            </w:pPr>
          </w:p>
        </w:tc>
      </w:tr>
      <w:tr w:rsidR="00DB387B">
        <w:tc>
          <w:tcPr>
            <w:tcW w:w="0" w:type="auto"/>
            <w:gridSpan w:val="2"/>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60236, м. Новоднiстровськ, Чернiвецької обл.</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color w:val="000000"/>
              </w:rPr>
            </w:pPr>
          </w:p>
        </w:tc>
      </w:tr>
      <w:tr w:rsidR="00DB387B">
        <w:tc>
          <w:tcPr>
            <w:tcW w:w="0" w:type="auto"/>
            <w:gridSpan w:val="2"/>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w:t>
            </w:r>
          </w:p>
        </w:tc>
      </w:tr>
      <w:tr w:rsidR="00DB387B">
        <w:tc>
          <w:tcPr>
            <w:tcW w:w="0" w:type="auto"/>
            <w:gridSpan w:val="2"/>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r>
      <w:tr w:rsidR="00DB387B">
        <w:tc>
          <w:tcPr>
            <w:tcW w:w="0" w:type="auto"/>
            <w:gridSpan w:val="2"/>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V</w:t>
            </w:r>
          </w:p>
        </w:tc>
      </w:tr>
    </w:tbl>
    <w:p w:rsidR="00DB387B" w:rsidRDefault="00DB387B">
      <w:pPr>
        <w:rPr>
          <w:rFonts w:eastAsia="Times New Roman"/>
          <w:color w:val="000000"/>
        </w:rPr>
      </w:pPr>
    </w:p>
    <w:p w:rsidR="00DB387B" w:rsidRDefault="00ED4C9B">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31.12.2017 р.</w:t>
      </w:r>
    </w:p>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DB387B">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5</w:t>
            </w:r>
          </w:p>
        </w:tc>
      </w:tr>
      <w:tr w:rsidR="00DB387B">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I. Необоротні активи</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5717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5694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6101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6112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18812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44353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67847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60211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180978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183575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113131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123364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lastRenderedPageBreak/>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2237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1441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94613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111699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r>
      <w:tr w:rsidR="00DB387B">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II. Оборотні активи</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2287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2489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2287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2489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38747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30745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888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903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745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12215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6748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lastRenderedPageBreak/>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1109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54179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42739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 xml:space="preserve">III. Необоротні активи, утримувані </w:t>
            </w:r>
            <w:proofErr w:type="gramStart"/>
            <w:r>
              <w:rPr>
                <w:rFonts w:eastAsia="Times New Roman"/>
                <w:b/>
                <w:bCs/>
                <w:color w:val="000000"/>
                <w:sz w:val="20"/>
                <w:szCs w:val="20"/>
              </w:rPr>
              <w:t>для продажу</w:t>
            </w:r>
            <w:proofErr w:type="gramEnd"/>
            <w:r>
              <w:rPr>
                <w:rFonts w:eastAsia="Times New Roman"/>
                <w:b/>
                <w:bCs/>
                <w:color w:val="000000"/>
                <w:sz w:val="20"/>
                <w:szCs w:val="20"/>
              </w:rPr>
              <w:t>,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148792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154438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DB387B">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DB387B">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I. Власний капітал</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475329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475329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4583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6167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6167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-343655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-341271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142439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144808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r>
      <w:tr w:rsidR="00DB387B">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lastRenderedPageBreak/>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r>
      <w:tr w:rsidR="00DB387B">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1916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2156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945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2661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4466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6353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9630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 xml:space="preserve">ІV. Зобов’язання, пов’язані з необоротними активами, утримуваними </w:t>
            </w:r>
            <w:proofErr w:type="gramStart"/>
            <w:r>
              <w:rPr>
                <w:rFonts w:eastAsia="Times New Roman"/>
                <w:b/>
                <w:bCs/>
                <w:color w:val="000000"/>
                <w:sz w:val="20"/>
                <w:szCs w:val="20"/>
              </w:rPr>
              <w:t>для продажу</w:t>
            </w:r>
            <w:proofErr w:type="gramEnd"/>
            <w:r>
              <w:rPr>
                <w:rFonts w:eastAsia="Times New Roman"/>
                <w:b/>
                <w:bCs/>
                <w:color w:val="000000"/>
                <w:sz w:val="20"/>
                <w:szCs w:val="20"/>
              </w:rPr>
              <w:t>,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148792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154438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DB387B">
        <w:tc>
          <w:tcPr>
            <w:tcW w:w="2000" w:type="pct"/>
            <w:tcMar>
              <w:top w:w="60" w:type="dxa"/>
              <w:left w:w="60" w:type="dxa"/>
              <w:bottom w:w="60" w:type="dxa"/>
              <w:right w:w="60" w:type="dxa"/>
            </w:tcMar>
            <w:vAlign w:val="center"/>
            <w:hideMark/>
          </w:tcPr>
          <w:p w:rsidR="00DB387B" w:rsidRDefault="00ED4C9B">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Iнша iнформацiя вiдсутня.</w:t>
            </w:r>
          </w:p>
        </w:tc>
      </w:tr>
      <w:tr w:rsidR="00DB387B">
        <w:tc>
          <w:tcPr>
            <w:tcW w:w="0" w:type="auto"/>
            <w:tcMar>
              <w:top w:w="60" w:type="dxa"/>
              <w:left w:w="60" w:type="dxa"/>
              <w:bottom w:w="60" w:type="dxa"/>
              <w:right w:w="60" w:type="dxa"/>
            </w:tcMar>
            <w:vAlign w:val="center"/>
            <w:hideMark/>
          </w:tcPr>
          <w:p w:rsidR="00DB387B" w:rsidRDefault="00ED4C9B">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Лунiн С.С.</w:t>
            </w:r>
          </w:p>
        </w:tc>
      </w:tr>
      <w:tr w:rsidR="00DB387B">
        <w:tc>
          <w:tcPr>
            <w:tcW w:w="0" w:type="auto"/>
            <w:tcMar>
              <w:top w:w="60" w:type="dxa"/>
              <w:left w:w="60" w:type="dxa"/>
              <w:bottom w:w="60" w:type="dxa"/>
              <w:right w:w="60" w:type="dxa"/>
            </w:tcMar>
            <w:vAlign w:val="center"/>
            <w:hideMark/>
          </w:tcPr>
          <w:p w:rsidR="00DB387B" w:rsidRDefault="00ED4C9B">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Шевчишена Н.П.</w:t>
            </w:r>
          </w:p>
        </w:tc>
      </w:tr>
    </w:tbl>
    <w:p w:rsidR="00DB387B" w:rsidRDefault="00ED4C9B">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DB387B">
        <w:tc>
          <w:tcPr>
            <w:tcW w:w="1000" w:type="pct"/>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КОДИ</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right"/>
              <w:rPr>
                <w:rFonts w:eastAsia="Times New Roman"/>
                <w:color w:val="000000"/>
              </w:rPr>
            </w:pPr>
            <w:proofErr w:type="gramStart"/>
            <w:r>
              <w:rPr>
                <w:rFonts w:eastAsia="Times New Roman"/>
                <w:color w:val="000000"/>
              </w:rPr>
              <w:t>Дата(</w:t>
            </w:r>
            <w:proofErr w:type="gramEnd"/>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2018 | 01 | 01</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Приватне акцiонерне товариство "Нижньоднiстровська ГЕС"</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30149623</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r>
    </w:tbl>
    <w:p w:rsidR="00DB387B" w:rsidRDefault="00DB387B">
      <w:pPr>
        <w:rPr>
          <w:rFonts w:eastAsia="Times New Roman"/>
          <w:color w:val="000000"/>
        </w:rPr>
      </w:pPr>
    </w:p>
    <w:p w:rsidR="00DB387B" w:rsidRDefault="00ED4C9B">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2017 р.</w:t>
      </w:r>
    </w:p>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jc w:val="center"/>
              <w:rPr>
                <w:rFonts w:eastAsia="Times New Roman"/>
                <w:color w:val="000000"/>
              </w:rPr>
            </w:pPr>
            <w:r>
              <w:rPr>
                <w:rFonts w:eastAsia="Times New Roman"/>
                <w:color w:val="000000"/>
              </w:rPr>
              <w:t>I. ФІНАНСОВІ РЕЗУЛЬТАТИ</w:t>
            </w:r>
          </w:p>
        </w:tc>
      </w:tr>
    </w:tbl>
    <w:p w:rsidR="00DB387B" w:rsidRDefault="00DB387B">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DB387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86046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63053</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( 49673</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( 38730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36373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24323</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 xml:space="preserve">Дохід (витрати) від зміни </w:t>
            </w:r>
            <w:proofErr w:type="gramStart"/>
            <w:r>
              <w:rPr>
                <w:rFonts w:eastAsia="Times New Roman"/>
                <w:color w:val="000000"/>
                <w:sz w:val="20"/>
                <w:szCs w:val="20"/>
              </w:rPr>
              <w:t>у резервах</w:t>
            </w:r>
            <w:proofErr w:type="gramEnd"/>
            <w:r>
              <w:rPr>
                <w:rFonts w:eastAsia="Times New Roman"/>
                <w:color w:val="000000"/>
                <w:sz w:val="20"/>
                <w:szCs w:val="20"/>
              </w:rPr>
              <w:t xml:space="preserve">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1758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2821</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( 19659</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( 13781</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( 14186</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( 4488</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lastRenderedPageBreak/>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4286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8875</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1517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74</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( 13</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( 6530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5790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2419</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2499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585</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3291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1834</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jc w:val="center"/>
              <w:rPr>
                <w:rFonts w:eastAsia="Times New Roman"/>
                <w:color w:val="000000"/>
              </w:rPr>
            </w:pPr>
            <w:r>
              <w:rPr>
                <w:rFonts w:eastAsia="Times New Roman"/>
                <w:color w:val="000000"/>
              </w:rPr>
              <w:t>II. СУКУПНИЙ ДОХІД</w:t>
            </w:r>
          </w:p>
        </w:tc>
      </w:tr>
    </w:tbl>
    <w:p w:rsidR="00DB387B" w:rsidRDefault="00DB387B">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DB387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1834</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jc w:val="center"/>
              <w:rPr>
                <w:rFonts w:eastAsia="Times New Roman"/>
                <w:color w:val="000000"/>
              </w:rPr>
            </w:pPr>
            <w:r>
              <w:rPr>
                <w:rFonts w:eastAsia="Times New Roman"/>
                <w:color w:val="000000"/>
              </w:rPr>
              <w:t>III. ЕЛЕМЕНТИ ОПЕРАЦІЙНИХ ВИТРАТ</w:t>
            </w:r>
          </w:p>
        </w:tc>
      </w:tr>
    </w:tbl>
    <w:p w:rsidR="00DB387B" w:rsidRDefault="00DB387B">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DB387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2382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9895</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17750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14120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2709</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lastRenderedPageBreak/>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10724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14846</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28341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15429</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83518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56999</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DB387B">
        <w:tc>
          <w:tcPr>
            <w:tcW w:w="0" w:type="auto"/>
            <w:tcBorders>
              <w:top w:val="nil"/>
              <w:left w:val="nil"/>
              <w:bottom w:val="nil"/>
              <w:right w:val="nil"/>
            </w:tcBorders>
            <w:tcMar>
              <w:top w:w="60" w:type="dxa"/>
              <w:left w:w="60" w:type="dxa"/>
              <w:bottom w:w="60" w:type="dxa"/>
              <w:right w:w="60" w:type="dxa"/>
            </w:tcMar>
            <w:hideMark/>
          </w:tcPr>
          <w:p w:rsidR="00DB387B" w:rsidRDefault="00ED4C9B">
            <w:pPr>
              <w:jc w:val="center"/>
              <w:rPr>
                <w:rFonts w:eastAsia="Times New Roman"/>
                <w:color w:val="000000"/>
              </w:rPr>
            </w:pPr>
            <w:r>
              <w:rPr>
                <w:rFonts w:eastAsia="Times New Roman"/>
                <w:color w:val="000000"/>
              </w:rPr>
              <w:t>ІV. РОЗРАХУНОК ПОКАЗНИКІВ ПРИБУТКОВОСТІ АКЦІЙ</w:t>
            </w:r>
          </w:p>
        </w:tc>
      </w:tr>
    </w:tbl>
    <w:p w:rsidR="00DB387B" w:rsidRDefault="00DB387B">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DB387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47532941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47532941</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47532941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47532941</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0.03</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DB387B">
        <w:tc>
          <w:tcPr>
            <w:tcW w:w="2000" w:type="pct"/>
            <w:tcMar>
              <w:top w:w="60" w:type="dxa"/>
              <w:left w:w="60" w:type="dxa"/>
              <w:bottom w:w="60" w:type="dxa"/>
              <w:right w:w="60" w:type="dxa"/>
            </w:tcMar>
            <w:vAlign w:val="center"/>
            <w:hideMark/>
          </w:tcPr>
          <w:p w:rsidR="00DB387B" w:rsidRDefault="00ED4C9B">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Iнша iнформацiя вiдсутня.</w:t>
            </w:r>
          </w:p>
        </w:tc>
      </w:tr>
      <w:tr w:rsidR="00DB387B">
        <w:tc>
          <w:tcPr>
            <w:tcW w:w="0" w:type="auto"/>
            <w:tcMar>
              <w:top w:w="60" w:type="dxa"/>
              <w:left w:w="60" w:type="dxa"/>
              <w:bottom w:w="60" w:type="dxa"/>
              <w:right w:w="60" w:type="dxa"/>
            </w:tcMar>
            <w:vAlign w:val="center"/>
            <w:hideMark/>
          </w:tcPr>
          <w:p w:rsidR="00DB387B" w:rsidRDefault="00ED4C9B">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Лунiн С.С.</w:t>
            </w:r>
          </w:p>
        </w:tc>
      </w:tr>
      <w:tr w:rsidR="00DB387B">
        <w:tc>
          <w:tcPr>
            <w:tcW w:w="0" w:type="auto"/>
            <w:tcMar>
              <w:top w:w="60" w:type="dxa"/>
              <w:left w:w="60" w:type="dxa"/>
              <w:bottom w:w="60" w:type="dxa"/>
              <w:right w:w="60" w:type="dxa"/>
            </w:tcMar>
            <w:vAlign w:val="center"/>
            <w:hideMark/>
          </w:tcPr>
          <w:p w:rsidR="00DB387B" w:rsidRDefault="00ED4C9B">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Шевчишена Н.П.</w:t>
            </w:r>
          </w:p>
        </w:tc>
      </w:tr>
    </w:tbl>
    <w:p w:rsidR="00DB387B" w:rsidRDefault="00ED4C9B">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DB387B">
        <w:tc>
          <w:tcPr>
            <w:tcW w:w="1000" w:type="pct"/>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КОДИ</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right"/>
              <w:rPr>
                <w:rFonts w:eastAsia="Times New Roman"/>
                <w:color w:val="000000"/>
              </w:rPr>
            </w:pPr>
            <w:proofErr w:type="gramStart"/>
            <w:r>
              <w:rPr>
                <w:rFonts w:eastAsia="Times New Roman"/>
                <w:color w:val="000000"/>
              </w:rPr>
              <w:t>Дата(</w:t>
            </w:r>
            <w:proofErr w:type="gramEnd"/>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2018 | 01 | 01</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Приватне акцiонерне товариство "Нижньоднiстровська ГЕС"</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30149623</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r>
    </w:tbl>
    <w:p w:rsidR="00DB387B" w:rsidRDefault="00DB387B">
      <w:pPr>
        <w:rPr>
          <w:rFonts w:eastAsia="Times New Roman"/>
          <w:color w:val="000000"/>
        </w:rPr>
      </w:pPr>
    </w:p>
    <w:p w:rsidR="00DB387B" w:rsidRDefault="00ED4C9B">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12 місяців 2017 р.</w:t>
      </w:r>
    </w:p>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DB387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4</w:t>
            </w:r>
          </w:p>
        </w:tc>
      </w:tr>
      <w:tr w:rsidR="00DB387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99548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61041</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171</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7</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2770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r>
            <w:proofErr w:type="gramStart"/>
            <w:r>
              <w:rPr>
                <w:rFonts w:eastAsia="Times New Roman"/>
                <w:color w:val="000000"/>
                <w:sz w:val="20"/>
                <w:szCs w:val="20"/>
              </w:rPr>
              <w:t>( 30540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br/>
            </w:r>
            <w:proofErr w:type="gramStart"/>
            <w:r>
              <w:rPr>
                <w:rFonts w:eastAsia="Times New Roman"/>
                <w:color w:val="000000"/>
                <w:sz w:val="20"/>
                <w:szCs w:val="20"/>
              </w:rPr>
              <w:t>( 13437</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( 13353</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( 10865</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( 3557</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( 2901</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( 23838</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( 16771</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( 1340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( 371</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( 10412</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( 6824</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( 12086</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( 9576</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lastRenderedPageBreak/>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( 3316</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( 831</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27457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19187</w:t>
            </w:r>
          </w:p>
        </w:tc>
      </w:tr>
      <w:tr w:rsidR="00DB387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47</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74</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( 33478</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( 8035</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-33478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-7914</w:t>
            </w:r>
          </w:p>
        </w:tc>
      </w:tr>
      <w:tr w:rsidR="00DB387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1517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( 907</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( 816</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( 56</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lastRenderedPageBreak/>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-816</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-5467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10457</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12215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1758</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6748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12215</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DB387B">
        <w:tc>
          <w:tcPr>
            <w:tcW w:w="2000" w:type="pct"/>
            <w:tcMar>
              <w:top w:w="60" w:type="dxa"/>
              <w:left w:w="60" w:type="dxa"/>
              <w:bottom w:w="60" w:type="dxa"/>
              <w:right w:w="60" w:type="dxa"/>
            </w:tcMar>
            <w:vAlign w:val="center"/>
            <w:hideMark/>
          </w:tcPr>
          <w:p w:rsidR="00DB387B" w:rsidRDefault="00ED4C9B">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 xml:space="preserve">Iнша iнформацiя вiдсутня. </w:t>
            </w:r>
          </w:p>
        </w:tc>
      </w:tr>
      <w:tr w:rsidR="00DB387B">
        <w:tc>
          <w:tcPr>
            <w:tcW w:w="0" w:type="auto"/>
            <w:tcMar>
              <w:top w:w="60" w:type="dxa"/>
              <w:left w:w="60" w:type="dxa"/>
              <w:bottom w:w="60" w:type="dxa"/>
              <w:right w:w="60" w:type="dxa"/>
            </w:tcMar>
            <w:vAlign w:val="center"/>
            <w:hideMark/>
          </w:tcPr>
          <w:p w:rsidR="00DB387B" w:rsidRDefault="00ED4C9B">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Лунiн С.С.</w:t>
            </w:r>
          </w:p>
        </w:tc>
      </w:tr>
      <w:tr w:rsidR="00DB387B">
        <w:tc>
          <w:tcPr>
            <w:tcW w:w="0" w:type="auto"/>
            <w:tcMar>
              <w:top w:w="60" w:type="dxa"/>
              <w:left w:w="60" w:type="dxa"/>
              <w:bottom w:w="60" w:type="dxa"/>
              <w:right w:w="60" w:type="dxa"/>
            </w:tcMar>
            <w:vAlign w:val="center"/>
            <w:hideMark/>
          </w:tcPr>
          <w:p w:rsidR="00DB387B" w:rsidRDefault="00ED4C9B">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Шевчишена Н.П.</w:t>
            </w:r>
          </w:p>
        </w:tc>
      </w:tr>
    </w:tbl>
    <w:p w:rsidR="00DB387B" w:rsidRDefault="00DB387B">
      <w:pPr>
        <w:rPr>
          <w:rFonts w:eastAsia="Times New Roman"/>
          <w:color w:val="000000"/>
        </w:rPr>
        <w:sectPr w:rsidR="00DB387B">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DB387B">
        <w:tc>
          <w:tcPr>
            <w:tcW w:w="1000" w:type="pct"/>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КОДИ</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right"/>
              <w:rPr>
                <w:rFonts w:eastAsia="Times New Roman"/>
                <w:color w:val="000000"/>
              </w:rPr>
            </w:pPr>
            <w:proofErr w:type="gramStart"/>
            <w:r>
              <w:rPr>
                <w:rFonts w:eastAsia="Times New Roman"/>
                <w:color w:val="000000"/>
              </w:rPr>
              <w:t>Дата(</w:t>
            </w:r>
            <w:proofErr w:type="gramEnd"/>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2018 | 01 | 01</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Приватне акцiонерне товариство "Нижньоднiстровська ГЕС"</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30149623</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r>
    </w:tbl>
    <w:p w:rsidR="00DB387B" w:rsidRDefault="00DB387B">
      <w:pPr>
        <w:rPr>
          <w:rFonts w:eastAsia="Times New Roman"/>
          <w:color w:val="000000"/>
        </w:rPr>
      </w:pPr>
    </w:p>
    <w:p w:rsidR="00DB387B" w:rsidRDefault="00ED4C9B">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12 місяців 2017 р.</w:t>
      </w:r>
    </w:p>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58"/>
        <w:gridCol w:w="1019"/>
        <w:gridCol w:w="1528"/>
        <w:gridCol w:w="1528"/>
        <w:gridCol w:w="1528"/>
        <w:gridCol w:w="1528"/>
      </w:tblGrid>
      <w:tr w:rsidR="00DB387B">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DB387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7B" w:rsidRDefault="00DB387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7B" w:rsidRDefault="00DB387B">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видаток</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6</w:t>
            </w:r>
          </w:p>
        </w:tc>
      </w:tr>
      <w:tr w:rsidR="00DB387B">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 xml:space="preserve">Збиток (прибуток) від реалізації необоротних активів, утримуваних </w:t>
            </w:r>
            <w:proofErr w:type="gramStart"/>
            <w:r>
              <w:rPr>
                <w:rFonts w:eastAsia="Times New Roman"/>
                <w:color w:val="000000"/>
                <w:sz w:val="20"/>
                <w:szCs w:val="20"/>
              </w:rPr>
              <w:t>для продажу</w:t>
            </w:r>
            <w:proofErr w:type="gramEnd"/>
            <w:r>
              <w:rPr>
                <w:rFonts w:eastAsia="Times New Roman"/>
                <w:color w:val="000000"/>
                <w:sz w:val="20"/>
                <w:szCs w:val="20"/>
              </w:rPr>
              <w:t xml:space="preserve">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lastRenderedPageBreak/>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r>
      <w:tr w:rsidR="00DB387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DB387B" w:rsidRDefault="00DB387B">
            <w:pPr>
              <w:rPr>
                <w:rFonts w:eastAsia="Times New Roman"/>
                <w:sz w:val="20"/>
                <w:szCs w:val="20"/>
              </w:rPr>
            </w:pPr>
          </w:p>
        </w:tc>
        <w:tc>
          <w:tcPr>
            <w:tcW w:w="0" w:type="auto"/>
            <w:vAlign w:val="center"/>
            <w:hideMark/>
          </w:tcPr>
          <w:p w:rsidR="00DB387B" w:rsidRDefault="00DB387B">
            <w:pPr>
              <w:rPr>
                <w:rFonts w:eastAsia="Times New Roman"/>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lastRenderedPageBreak/>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proofErr w:type="gramStart"/>
            <w:r>
              <w:rPr>
                <w:rFonts w:eastAsia="Times New Roman"/>
                <w:color w:val="000000"/>
                <w:sz w:val="20"/>
                <w:szCs w:val="20"/>
              </w:rPr>
              <w:t>( 0</w:t>
            </w:r>
            <w:proofErr w:type="gramEnd"/>
            <w:r>
              <w:rPr>
                <w:rFonts w:eastAsia="Times New Roman"/>
                <w:color w:val="000000"/>
                <w:sz w:val="20"/>
                <w:szCs w:val="20"/>
              </w:rPr>
              <w:t xml:space="preserve"> )</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r>
      <w:tr w:rsidR="00DB387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DB387B" w:rsidRDefault="00DB387B">
            <w:pPr>
              <w:rPr>
                <w:rFonts w:eastAsia="Times New Roman"/>
                <w:sz w:val="20"/>
                <w:szCs w:val="20"/>
              </w:rPr>
            </w:pPr>
          </w:p>
        </w:tc>
        <w:tc>
          <w:tcPr>
            <w:tcW w:w="0" w:type="auto"/>
            <w:vAlign w:val="center"/>
            <w:hideMark/>
          </w:tcPr>
          <w:p w:rsidR="00DB387B" w:rsidRDefault="00DB387B">
            <w:pPr>
              <w:rPr>
                <w:rFonts w:eastAsia="Times New Roman"/>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X</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DB387B">
        <w:tc>
          <w:tcPr>
            <w:tcW w:w="2000" w:type="pct"/>
            <w:tcMar>
              <w:top w:w="60" w:type="dxa"/>
              <w:left w:w="60" w:type="dxa"/>
              <w:bottom w:w="60" w:type="dxa"/>
              <w:right w:w="60" w:type="dxa"/>
            </w:tcMar>
            <w:vAlign w:val="center"/>
            <w:hideMark/>
          </w:tcPr>
          <w:p w:rsidR="00DB387B" w:rsidRDefault="00ED4C9B">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Iнша iнформацiя вiдсутня.</w:t>
            </w:r>
          </w:p>
        </w:tc>
      </w:tr>
      <w:tr w:rsidR="00DB387B">
        <w:tc>
          <w:tcPr>
            <w:tcW w:w="0" w:type="auto"/>
            <w:tcMar>
              <w:top w:w="60" w:type="dxa"/>
              <w:left w:w="60" w:type="dxa"/>
              <w:bottom w:w="60" w:type="dxa"/>
              <w:right w:w="60" w:type="dxa"/>
            </w:tcMar>
            <w:vAlign w:val="center"/>
            <w:hideMark/>
          </w:tcPr>
          <w:p w:rsidR="00DB387B" w:rsidRDefault="00ED4C9B">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Лунiн С.С.</w:t>
            </w:r>
          </w:p>
        </w:tc>
      </w:tr>
      <w:tr w:rsidR="00DB387B">
        <w:tc>
          <w:tcPr>
            <w:tcW w:w="0" w:type="auto"/>
            <w:tcMar>
              <w:top w:w="60" w:type="dxa"/>
              <w:left w:w="60" w:type="dxa"/>
              <w:bottom w:w="60" w:type="dxa"/>
              <w:right w:w="60" w:type="dxa"/>
            </w:tcMar>
            <w:vAlign w:val="center"/>
            <w:hideMark/>
          </w:tcPr>
          <w:p w:rsidR="00DB387B" w:rsidRDefault="00ED4C9B">
            <w:pPr>
              <w:jc w:val="center"/>
              <w:rPr>
                <w:rFonts w:eastAsia="Times New Roman"/>
                <w:b/>
                <w:bCs/>
                <w:color w:val="000000"/>
              </w:rPr>
            </w:pPr>
            <w:r>
              <w:rPr>
                <w:rFonts w:eastAsia="Times New Roman"/>
                <w:b/>
                <w:bCs/>
                <w:color w:val="000000"/>
              </w:rPr>
              <w:lastRenderedPageBreak/>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Шевчишена Н.П.</w:t>
            </w:r>
          </w:p>
        </w:tc>
      </w:tr>
    </w:tbl>
    <w:p w:rsidR="00DB387B" w:rsidRDefault="00DB387B">
      <w:pPr>
        <w:rPr>
          <w:rFonts w:eastAsia="Times New Roman"/>
          <w:color w:val="000000"/>
        </w:rPr>
        <w:sectPr w:rsidR="00DB387B">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70"/>
        <w:gridCol w:w="6681"/>
        <w:gridCol w:w="2969"/>
        <w:gridCol w:w="2227"/>
      </w:tblGrid>
      <w:tr w:rsidR="00DB387B">
        <w:tc>
          <w:tcPr>
            <w:tcW w:w="1000" w:type="pct"/>
            <w:tcBorders>
              <w:top w:val="nil"/>
              <w:left w:val="nil"/>
              <w:bottom w:val="nil"/>
              <w:right w:val="nil"/>
            </w:tcBorders>
            <w:tcMar>
              <w:top w:w="60" w:type="dxa"/>
              <w:left w:w="60" w:type="dxa"/>
              <w:bottom w:w="60" w:type="dxa"/>
              <w:right w:w="60" w:type="dxa"/>
            </w:tcMar>
            <w:vAlign w:val="center"/>
            <w:hideMark/>
          </w:tcPr>
          <w:p w:rsidR="00DB387B" w:rsidRDefault="00DB387B">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КОДИ</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right"/>
              <w:rPr>
                <w:rFonts w:eastAsia="Times New Roman"/>
                <w:color w:val="000000"/>
              </w:rPr>
            </w:pPr>
            <w:proofErr w:type="gramStart"/>
            <w:r>
              <w:rPr>
                <w:rFonts w:eastAsia="Times New Roman"/>
                <w:color w:val="000000"/>
              </w:rPr>
              <w:t>Дата(</w:t>
            </w:r>
            <w:proofErr w:type="gramEnd"/>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2018 | 01 | 01</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Приватне акцiонерне товариство "Нижньоднiстровська ГЕС"</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30149623</w:t>
            </w:r>
          </w:p>
        </w:tc>
      </w:tr>
      <w:tr w:rsidR="00DB387B">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DB387B">
            <w:pPr>
              <w:jc w:val="center"/>
              <w:rPr>
                <w:rFonts w:eastAsia="Times New Roman"/>
                <w:sz w:val="20"/>
                <w:szCs w:val="20"/>
              </w:rPr>
            </w:pPr>
          </w:p>
        </w:tc>
      </w:tr>
    </w:tbl>
    <w:p w:rsidR="00DB387B" w:rsidRDefault="00DB387B">
      <w:pPr>
        <w:rPr>
          <w:rFonts w:eastAsia="Times New Roman"/>
          <w:color w:val="000000"/>
        </w:rPr>
      </w:pPr>
    </w:p>
    <w:p w:rsidR="00DB387B" w:rsidRDefault="00ED4C9B">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2017 р.</w:t>
      </w:r>
    </w:p>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36"/>
        <w:gridCol w:w="1564"/>
        <w:gridCol w:w="1436"/>
        <w:gridCol w:w="1436"/>
        <w:gridCol w:w="1436"/>
        <w:gridCol w:w="1575"/>
        <w:gridCol w:w="1437"/>
        <w:gridCol w:w="1437"/>
        <w:gridCol w:w="1437"/>
      </w:tblGrid>
      <w:tr w:rsidR="00DB387B">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Всього</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475329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4598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6167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-343655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142439</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color w:val="000000"/>
                <w:sz w:val="20"/>
                <w:szCs w:val="20"/>
              </w:rPr>
            </w:pP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475329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4598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6167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-343655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142439</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3291</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-907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-907</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 xml:space="preserve">Сума чистого прибутку, належна </w:t>
            </w:r>
            <w:proofErr w:type="gramStart"/>
            <w:r>
              <w:rPr>
                <w:rFonts w:eastAsia="Times New Roman"/>
                <w:color w:val="000000"/>
                <w:sz w:val="20"/>
                <w:szCs w:val="20"/>
              </w:rPr>
              <w:t>до бюджету</w:t>
            </w:r>
            <w:proofErr w:type="gramEnd"/>
            <w:r>
              <w:rPr>
                <w:rFonts w:eastAsia="Times New Roman"/>
                <w:color w:val="000000"/>
                <w:sz w:val="20"/>
                <w:szCs w:val="20"/>
              </w:rPr>
              <w:t xml:space="preserve">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lastRenderedPageBreak/>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-15</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color w:val="000000"/>
                <w:sz w:val="20"/>
                <w:szCs w:val="20"/>
              </w:rPr>
            </w:pPr>
            <w:r>
              <w:rPr>
                <w:rFonts w:eastAsia="Times New Roman"/>
                <w:color w:val="000000"/>
                <w:sz w:val="20"/>
                <w:szCs w:val="20"/>
              </w:rPr>
              <w:t xml:space="preserve">Придбання (продаж) </w:t>
            </w:r>
            <w:r>
              <w:rPr>
                <w:rFonts w:eastAsia="Times New Roman"/>
                <w:color w:val="000000"/>
                <w:sz w:val="20"/>
                <w:szCs w:val="20"/>
              </w:rPr>
              <w:lastRenderedPageBreak/>
              <w:t>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color w:val="000000"/>
                <w:sz w:val="20"/>
                <w:szCs w:val="20"/>
              </w:rPr>
            </w:pPr>
            <w:r>
              <w:rPr>
                <w:rFonts w:eastAsia="Times New Roman"/>
                <w:color w:val="000000"/>
                <w:sz w:val="20"/>
                <w:szCs w:val="20"/>
              </w:rPr>
              <w:t>0</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DB387B">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2384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2369</w:t>
            </w:r>
          </w:p>
        </w:tc>
      </w:tr>
      <w:tr w:rsidR="00DB387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475329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4583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6167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-341271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387B" w:rsidRDefault="00ED4C9B">
            <w:pPr>
              <w:jc w:val="center"/>
              <w:rPr>
                <w:rFonts w:eastAsia="Times New Roman"/>
                <w:b/>
                <w:bCs/>
                <w:color w:val="000000"/>
                <w:sz w:val="20"/>
                <w:szCs w:val="20"/>
              </w:rPr>
            </w:pPr>
            <w:r>
              <w:rPr>
                <w:rFonts w:eastAsia="Times New Roman"/>
                <w:b/>
                <w:bCs/>
                <w:color w:val="000000"/>
                <w:sz w:val="20"/>
                <w:szCs w:val="20"/>
              </w:rPr>
              <w:t>144808</w:t>
            </w:r>
          </w:p>
        </w:tc>
      </w:tr>
    </w:tbl>
    <w:p w:rsidR="00DB387B" w:rsidRDefault="00DB38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42"/>
        <w:gridCol w:w="8913"/>
      </w:tblGrid>
      <w:tr w:rsidR="00DB387B">
        <w:tc>
          <w:tcPr>
            <w:tcW w:w="2000" w:type="pct"/>
            <w:tcMar>
              <w:top w:w="60" w:type="dxa"/>
              <w:left w:w="60" w:type="dxa"/>
              <w:bottom w:w="60" w:type="dxa"/>
              <w:right w:w="60" w:type="dxa"/>
            </w:tcMar>
            <w:vAlign w:val="center"/>
            <w:hideMark/>
          </w:tcPr>
          <w:p w:rsidR="00DB387B" w:rsidRDefault="00ED4C9B">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Iнша iнформацiя вiдсутня.</w:t>
            </w:r>
          </w:p>
        </w:tc>
      </w:tr>
      <w:tr w:rsidR="00DB387B">
        <w:tc>
          <w:tcPr>
            <w:tcW w:w="0" w:type="auto"/>
            <w:tcMar>
              <w:top w:w="60" w:type="dxa"/>
              <w:left w:w="60" w:type="dxa"/>
              <w:bottom w:w="60" w:type="dxa"/>
              <w:right w:w="60" w:type="dxa"/>
            </w:tcMar>
            <w:vAlign w:val="center"/>
            <w:hideMark/>
          </w:tcPr>
          <w:p w:rsidR="00DB387B" w:rsidRDefault="00ED4C9B">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Лунiн С.С.</w:t>
            </w:r>
          </w:p>
        </w:tc>
      </w:tr>
      <w:tr w:rsidR="00DB387B">
        <w:tc>
          <w:tcPr>
            <w:tcW w:w="0" w:type="auto"/>
            <w:tcMar>
              <w:top w:w="60" w:type="dxa"/>
              <w:left w:w="60" w:type="dxa"/>
              <w:bottom w:w="60" w:type="dxa"/>
              <w:right w:w="60" w:type="dxa"/>
            </w:tcMar>
            <w:vAlign w:val="center"/>
            <w:hideMark/>
          </w:tcPr>
          <w:p w:rsidR="00DB387B" w:rsidRDefault="00ED4C9B">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DB387B" w:rsidRDefault="00ED4C9B">
            <w:pPr>
              <w:jc w:val="center"/>
              <w:rPr>
                <w:rFonts w:eastAsia="Times New Roman"/>
                <w:color w:val="000000"/>
              </w:rPr>
            </w:pPr>
            <w:r>
              <w:rPr>
                <w:rFonts w:eastAsia="Times New Roman"/>
                <w:color w:val="000000"/>
              </w:rPr>
              <w:t>Шевчишена Н.П.</w:t>
            </w:r>
          </w:p>
        </w:tc>
      </w:tr>
    </w:tbl>
    <w:p w:rsidR="00DB387B" w:rsidRDefault="00DB387B">
      <w:pPr>
        <w:rPr>
          <w:rFonts w:eastAsia="Times New Roman"/>
          <w:color w:val="000000"/>
        </w:rPr>
        <w:sectPr w:rsidR="00DB387B">
          <w:pgSz w:w="16840" w:h="11907" w:orient="landscape"/>
          <w:pgMar w:top="1134" w:right="1134" w:bottom="851" w:left="851" w:header="0" w:footer="0" w:gutter="0"/>
          <w:cols w:space="720"/>
        </w:sectPr>
      </w:pPr>
    </w:p>
    <w:p w:rsidR="00DB387B" w:rsidRDefault="00ED4C9B">
      <w:pPr>
        <w:pStyle w:val="3"/>
        <w:rPr>
          <w:rFonts w:eastAsia="Times New Roman"/>
          <w:color w:val="000000"/>
        </w:rPr>
      </w:pPr>
      <w:r>
        <w:rPr>
          <w:rFonts w:eastAsia="Times New Roman"/>
          <w:color w:val="000000"/>
        </w:rPr>
        <w:lastRenderedPageBreak/>
        <w:t>Примітки до фінансової звітності, складеної відповідно до міжнародних стандартів фінансової звітності</w:t>
      </w:r>
    </w:p>
    <w:p w:rsidR="00DB387B" w:rsidRDefault="00ED4C9B">
      <w:pPr>
        <w:pStyle w:val="4"/>
        <w:rPr>
          <w:rFonts w:eastAsia="Times New Roman"/>
          <w:color w:val="000000"/>
        </w:rPr>
      </w:pPr>
      <w:r>
        <w:rPr>
          <w:rFonts w:eastAsia="Times New Roman"/>
          <w:color w:val="000000"/>
        </w:rPr>
        <w:t>Текст приміток</w:t>
      </w:r>
    </w:p>
    <w:p w:rsidR="00DB387B" w:rsidRDefault="00ED4C9B">
      <w:pPr>
        <w:divId w:val="122505590"/>
        <w:rPr>
          <w:rFonts w:eastAsia="Times New Roman"/>
          <w:color w:val="000000"/>
        </w:rPr>
      </w:pPr>
      <w:r>
        <w:rPr>
          <w:rFonts w:eastAsia="Times New Roman"/>
          <w:color w:val="000000"/>
        </w:rPr>
        <w:t>ПРИМIТКИ ДО ФIНАНСОВОЇ ЗВIТНОСТI ЗА РIК,</w:t>
      </w:r>
      <w:r>
        <w:rPr>
          <w:rFonts w:eastAsia="Times New Roman"/>
          <w:color w:val="000000"/>
        </w:rPr>
        <w:br/>
        <w:t>ЩО ЗАКIНЧIВСЯ 31 ГРУДНЯ 2017р.</w:t>
      </w:r>
      <w:r>
        <w:rPr>
          <w:rFonts w:eastAsia="Times New Roman"/>
          <w:color w:val="000000"/>
        </w:rPr>
        <w:br/>
        <w:t>(в тисячах українських гривень)</w:t>
      </w:r>
      <w:r>
        <w:rPr>
          <w:rFonts w:eastAsia="Times New Roman"/>
          <w:color w:val="000000"/>
        </w:rPr>
        <w:br/>
        <w:t>1. Загальна iнформацiя</w:t>
      </w:r>
      <w:r>
        <w:rPr>
          <w:rFonts w:eastAsia="Times New Roman"/>
          <w:color w:val="000000"/>
        </w:rPr>
        <w:br/>
        <w:t xml:space="preserve">Приватне акцiонерне товариство «НИЖНЬОДНIСТРОВСЬКА ГЕС» – пiдприємство електроенергетичної галузi на пiвденно-заходi України. </w:t>
      </w:r>
      <w:r>
        <w:rPr>
          <w:rFonts w:eastAsia="Times New Roman"/>
          <w:color w:val="000000"/>
        </w:rPr>
        <w:br/>
        <w:t>Приватне акцiонерне товариство «НИЖНЬОДНIСТРОВСЬКА ГЕС» (далi - Товариство) зареєстроване 26 березня 1999 роцi, є правонаступником всiх прав та зобов’язань Вiдкритого акцiонерного товариства «Днiстровська ГАЕС», створеного вiдповiдно до Постанови Кабiнету Мiнiстрiв України «Про створення вiдкритого акцiонерного товариства «Днiстровська гiдроакумулююча електрична станцiя» вiд 15 травня 1998 року №674 та Установчого договору «Про створення та дiяльнiсть на територiї України вiдкритого акцiонерного товариства «Днiстровська ГАЕС» вiд 17 серпня 1998 року.</w:t>
      </w:r>
      <w:r>
        <w:rPr>
          <w:rFonts w:eastAsia="Times New Roman"/>
          <w:color w:val="000000"/>
        </w:rPr>
        <w:br/>
        <w:t>Основною господарською дiяльнiстю Товариства є виробництво i постачання електричної енергiї за нерегульованим тарифом, надання в оренду й експлуатацiю власного чи орендованого нерухомого майна.</w:t>
      </w:r>
      <w:r>
        <w:rPr>
          <w:rFonts w:eastAsia="Times New Roman"/>
          <w:color w:val="000000"/>
        </w:rPr>
        <w:br/>
        <w:t>Станом на 31 грудня 2017 року кiлькiсть штатних працiвникiв Товариства становила 134 особи (31 грудня 2016 року: 142 особи).</w:t>
      </w:r>
      <w:r>
        <w:rPr>
          <w:rFonts w:eastAsia="Times New Roman"/>
          <w:color w:val="000000"/>
        </w:rPr>
        <w:br/>
        <w:t xml:space="preserve">Юридична адреса Товариства: 60236, Україна, м. Новоднiстровськ, Чернiвецька обл.. </w:t>
      </w:r>
      <w:r>
        <w:rPr>
          <w:rFonts w:eastAsia="Times New Roman"/>
          <w:color w:val="000000"/>
        </w:rPr>
        <w:br/>
        <w:t>Умови функцiонування та економiчна ситуацiя</w:t>
      </w:r>
      <w:r>
        <w:rPr>
          <w:rFonts w:eastAsia="Times New Roman"/>
          <w:color w:val="000000"/>
        </w:rPr>
        <w:br/>
        <w:t>Товариство здiйснює дiяльнiсть, що пiдлягає державному лiцензуванню. Тарифи, за якими Товариство продає електричну енергiю не регулюються державою, проте в операцiях постачання електроенергiї постачальникам для подальшого її продажу за регульованими державою тарифами, тарифи Товариства обмежуються встановленою державою прогнозованою оптовою ринковою цiною. На рiшення про розмiр та впровадження тарифiв суттєво впливають соцiально-полiтичнi фактори.</w:t>
      </w:r>
      <w:r>
        <w:rPr>
          <w:rFonts w:eastAsia="Times New Roman"/>
          <w:color w:val="000000"/>
        </w:rPr>
        <w:br/>
        <w:t xml:space="preserve">Економiка України, що виходить iз затяжної кризи, демонструє слабке зростання в умовах триваючої iнфляцiї. </w:t>
      </w:r>
      <w:r>
        <w:rPr>
          <w:rFonts w:eastAsia="Times New Roman"/>
          <w:color w:val="000000"/>
        </w:rPr>
        <w:br/>
        <w:t>Економiка України в 2017 роцi не продовжила очiкувану тенденцiю вiдновлення пiсля позитивного перелому в 2016 роцi, разом з пiдвищенням мiнiмальної заробiтної плати, рiвень iнфляцiя збiльшився до 13,7% з 12,4% в 2016 роцi. При цьому середньорiчний курс гривнi не виходив за рамки дiапазону 27-28,5 грн/дол.</w:t>
      </w:r>
      <w:r>
        <w:rPr>
          <w:rFonts w:eastAsia="Times New Roman"/>
          <w:color w:val="000000"/>
        </w:rPr>
        <w:br/>
        <w:t xml:space="preserve">В 2017 роцi Україна перебувала в процесi реформування i вiдбивала зовнiшню агресiю i тому не продемонструвала великих темпiв зростання, Протягом року системнi ризики для українського фiнансового сектору знизилися, макроекономiчне середовище, як зовнiшнє, так i внутрiшнє, стало сприятливiшим. </w:t>
      </w:r>
      <w:r>
        <w:rPr>
          <w:rFonts w:eastAsia="Times New Roman"/>
          <w:color w:val="000000"/>
        </w:rPr>
        <w:br/>
        <w:t>Для залучення iнвестицiй i стимулювання бiзнесу Нацiональний банк в 2017 роцi продовжив активно згортати введенi в 2014 роцi валютнi обмеження i пом’якшувати монетарну полiтику. Цi кроки стали можливими, завдяки стабiлiзацiї курсу гривнi. За рiк нацiональна валюта подешевшала з 27,19 грн/дол. до 28,06 грн/дол., але валютнi скачки вже не викликають панiку у населення. У критичних ситуацiях НБУ виходить на мiжбанк з iнтервенцiями i не дає опуститися курсу нижче допустимого регулятором рiвня.</w:t>
      </w:r>
      <w:r>
        <w:rPr>
          <w:rFonts w:eastAsia="Times New Roman"/>
          <w:color w:val="000000"/>
        </w:rPr>
        <w:br/>
        <w:t>Проте ще рано говорити про стабiлiзацiю i зростання економiки України. Як i ранiше Крим, автономна республiка у складi України, фактично анексована Росiйською Федерацiєю. Україна продовжує страждати в результатi розгортання сепаратистських рухiв i розвалу системи правопорядку в Луганськiй та Донецькiй областях.</w:t>
      </w:r>
      <w:r>
        <w:rPr>
          <w:rFonts w:eastAsia="Times New Roman"/>
          <w:color w:val="000000"/>
        </w:rPr>
        <w:br/>
        <w:t xml:space="preserve">Економiка України все ще залежить вiд зовнiшнього фiнансування. Стабiлiзацiя економiчної ситуацiї залежить, великою мiрою, вiд успiху зусиль українського уряду, при цьому подальший </w:t>
      </w:r>
      <w:r>
        <w:rPr>
          <w:rFonts w:eastAsia="Times New Roman"/>
          <w:color w:val="000000"/>
        </w:rPr>
        <w:lastRenderedPageBreak/>
        <w:t>розвиток економiчної та полiтичної ситуацiї на разi неможливо передбачити.</w:t>
      </w:r>
      <w:r>
        <w:rPr>
          <w:rFonts w:eastAsia="Times New Roman"/>
          <w:color w:val="000000"/>
        </w:rPr>
        <w:br/>
        <w:t>2. Основа складання фiнансової звiтностi</w:t>
      </w:r>
      <w:r>
        <w:rPr>
          <w:rFonts w:eastAsia="Times New Roman"/>
          <w:color w:val="000000"/>
        </w:rPr>
        <w:br/>
        <w:t>Фiнансова звiтнiсть Товариства складена вiдповiдно до Мiжнародних стандартiв фiнансової звiтностi («МСФЗ»), якi мають вiдношення до складання такої фiнансової звiтностi, у редакцiї, розмiщенiй на офiцiйному сайтi Мiнiстерства фiнансiв України, (далi - МСФЗ).</w:t>
      </w:r>
      <w:r>
        <w:rPr>
          <w:rFonts w:eastAsia="Times New Roman"/>
          <w:color w:val="000000"/>
        </w:rPr>
        <w:br/>
        <w:t>Ця фiнансова звiтнiсть була складена за принципом оцiнки за iсторичною вартiстю. Станом на 1 сiчня 2012 року, на дату першого застосування МСФЗ. Товариство використало в якостi умовної iсторичної вартостi основних засобiв вартiсть згiдно нацiональних Положень (стандартiв) фiнансової звiтностi (далi - П(С)БО) на цю дату. Фiнансова звiтнiсть представлена в українських гривнях, а всi суми округленi до цiлих тисяч, якщо не зазначено iнше.</w:t>
      </w:r>
      <w:r>
        <w:rPr>
          <w:rFonts w:eastAsia="Times New Roman"/>
          <w:color w:val="000000"/>
        </w:rPr>
        <w:br/>
        <w:t>Безперервнiсть дiяльностi</w:t>
      </w:r>
      <w:r>
        <w:rPr>
          <w:rFonts w:eastAsia="Times New Roman"/>
          <w:color w:val="000000"/>
        </w:rPr>
        <w:br/>
        <w:t>Ця фiнансова звiтнiсть пiдготовлена на основi припущень про безперервну дiяльнiсть Товариства. Ця фiнансова звiтнiсть не мiстить будь-яких коригувань, якi стосуються можливостi вiдшкодування та класифiкацiї вiдображення сум активiв або сум та класифiкацiї зобов’язань, якi могли б знадобиться, якби Товариство було не здатне продовжувати свою дiяльнiсть на безперервнiй основi.</w:t>
      </w:r>
      <w:r>
        <w:rPr>
          <w:rFonts w:eastAsia="Times New Roman"/>
          <w:color w:val="000000"/>
        </w:rPr>
        <w:br/>
        <w:t>Застосування нових та переглянутих Мiжнародних стандартiв фiнансової звiтностi.</w:t>
      </w:r>
      <w:r>
        <w:rPr>
          <w:rFonts w:eastAsia="Times New Roman"/>
          <w:color w:val="000000"/>
        </w:rPr>
        <w:br/>
        <w:t>Новi i переглянутi МСФЗ у фiнансовiй звiтностi.</w:t>
      </w:r>
      <w:r>
        <w:rPr>
          <w:rFonts w:eastAsia="Times New Roman"/>
          <w:color w:val="000000"/>
        </w:rPr>
        <w:br/>
        <w:t>Товариство прийняло до застосування такi новi i переглянутi стандарти i тлумачення, а також поправки до них, випущенi РМСБО, якi набули обов’язкової чинностi для облiкових перiодiв, якi почали дiяти на або пiсля 1 сiчня 2017 року.</w:t>
      </w:r>
      <w:r>
        <w:rPr>
          <w:rFonts w:eastAsia="Times New Roman"/>
          <w:color w:val="000000"/>
        </w:rPr>
        <w:br/>
        <w:t>Стандарти/тлумачення Набули чинностi щодо рiчних облiкових перiодiв, якi починаються з або пiсля</w:t>
      </w:r>
      <w:r>
        <w:rPr>
          <w:rFonts w:eastAsia="Times New Roman"/>
          <w:color w:val="000000"/>
        </w:rPr>
        <w:br/>
        <w:t xml:space="preserve">Поправки до МСБО 12 „Податки на прибуток” – Визнання вiдстрочених податкових активiв щодо нереалiзованих збиткiв 1 сiчня 2017 року </w:t>
      </w:r>
      <w:r>
        <w:rPr>
          <w:rFonts w:eastAsia="Times New Roman"/>
          <w:color w:val="000000"/>
        </w:rPr>
        <w:br/>
        <w:t xml:space="preserve">Поправки до МСБО 7 „Звiт про рух грошових коштiв” – Iнiцiатива щодо розкриття iнформацiї 1 сiчня 2017 року </w:t>
      </w:r>
      <w:r>
        <w:rPr>
          <w:rFonts w:eastAsia="Times New Roman"/>
          <w:color w:val="000000"/>
        </w:rPr>
        <w:br/>
        <w:t>Новi i переглянутi МСФЗ випущенi, але якi ще не набули чинностi. На дату затвердження цiєї фiнансової звiтностi такi новi та переглянутi МСФЗ i тлумачення, а також поправки до них були випущенi, але не набули чинностi:</w:t>
      </w:r>
      <w:r>
        <w:rPr>
          <w:rFonts w:eastAsia="Times New Roman"/>
          <w:color w:val="000000"/>
        </w:rPr>
        <w:br/>
        <w:t>Стандарти i тлумачення Набувають чинностi щодо рiчних облiкових перiодiв, якi починаються з або пiсля</w:t>
      </w:r>
      <w:r>
        <w:rPr>
          <w:rFonts w:eastAsia="Times New Roman"/>
          <w:color w:val="000000"/>
        </w:rPr>
        <w:br/>
      </w:r>
      <w:r>
        <w:rPr>
          <w:rFonts w:eastAsia="Times New Roman"/>
          <w:color w:val="000000"/>
        </w:rPr>
        <w:br/>
        <w:t xml:space="preserve">МСФЗ 9 «Фiнансовi iнструменти» – замiнює собою МСБО 39 «Фiнансовi iнструменти: визнання та оцiнка» 1 сiчня 2018 року </w:t>
      </w:r>
      <w:r>
        <w:rPr>
          <w:rFonts w:eastAsia="Times New Roman"/>
          <w:color w:val="000000"/>
        </w:rPr>
        <w:br/>
        <w:t xml:space="preserve">МСФЗ 15 «Дохiд вiд договорiв з клiєнтами» 1 сiчня 2018 року </w:t>
      </w:r>
      <w:r>
        <w:rPr>
          <w:rFonts w:eastAsia="Times New Roman"/>
          <w:color w:val="000000"/>
        </w:rPr>
        <w:br/>
        <w:t>Наразi керiвництво Товариства здiйснює оцiнку впливу застосування цих поправок до стандартiв на майбутню фiнансову звiтнiсть Товариства.</w:t>
      </w:r>
      <w:r>
        <w:rPr>
          <w:rFonts w:eastAsia="Times New Roman"/>
          <w:color w:val="000000"/>
        </w:rPr>
        <w:br/>
        <w:t>3. Основнi принципи облiкової полiтики</w:t>
      </w:r>
      <w:r>
        <w:rPr>
          <w:rFonts w:eastAsia="Times New Roman"/>
          <w:color w:val="000000"/>
        </w:rPr>
        <w:br/>
        <w:t>Заява про вiдповiднiсть – Ця фiнансова звiтнiсть була пiдготовлена у вiдповiдностi до МСФЗ.</w:t>
      </w:r>
      <w:r>
        <w:rPr>
          <w:rFonts w:eastAsia="Times New Roman"/>
          <w:color w:val="000000"/>
        </w:rPr>
        <w:br/>
        <w:t xml:space="preserve">Основа пiдготовки фiнансової звiтностi – Ця фiнансова звiтнiсть Товариства була пiдготовлена на основi принципу iсторичної вартостi. </w:t>
      </w:r>
      <w:r>
        <w:rPr>
          <w:rFonts w:eastAsia="Times New Roman"/>
          <w:color w:val="000000"/>
        </w:rPr>
        <w:br/>
        <w:t>Iсторична вартiсть звичайно визначається при первiсному визнаннi на основi справедливої вартостi компенсацiї, сплаченої в обмiн на активи з урахуванням накопиченого зносу та знецiнення активiв, якщо таке застосовне. Оцiнка справедливої вартостi активiв для цiлей фiнансової звiтностi у наступних перiодах не здiйснюється.</w:t>
      </w:r>
      <w:r>
        <w:rPr>
          <w:rFonts w:eastAsia="Times New Roman"/>
          <w:color w:val="000000"/>
        </w:rPr>
        <w:br/>
        <w:t>Визнання доходiв – Доходи вiд реалiзацiї оцiнюються за справедливою вартiстю компенсацiї отриманої або до отримання i являють собою суми до отримання за товари та послуги, наданi в ходi звичайної господарської дiяльностi, за вирахуванням очiкуваних сум дисконтiв, податку на додану вартiсть та акцизного збору.</w:t>
      </w:r>
      <w:r>
        <w:rPr>
          <w:rFonts w:eastAsia="Times New Roman"/>
          <w:color w:val="000000"/>
        </w:rPr>
        <w:br/>
        <w:t>Реалiзацiя товарiв – Доходи вiд реалiзацiї товарiв визнаються за умови виконання усiх наведених нижче умов:</w:t>
      </w:r>
      <w:r>
        <w:rPr>
          <w:rFonts w:eastAsia="Times New Roman"/>
          <w:color w:val="000000"/>
        </w:rPr>
        <w:br/>
        <w:t>• Товариство передало покупцю усi iстотнi ризики та вигоди, пов’язанi з володiнням товарами;</w:t>
      </w:r>
      <w:r>
        <w:rPr>
          <w:rFonts w:eastAsia="Times New Roman"/>
          <w:color w:val="000000"/>
        </w:rPr>
        <w:br/>
      </w:r>
      <w:r>
        <w:rPr>
          <w:rFonts w:eastAsia="Times New Roman"/>
          <w:color w:val="000000"/>
        </w:rPr>
        <w:lastRenderedPageBreak/>
        <w:t>• Товариство бiльше не бере участi в управлiннi у тiй мiрi, яка звичайно асоцiюється з правом володiння, та не здiйснює фактичного контролю над проданими товарами;</w:t>
      </w:r>
      <w:r>
        <w:rPr>
          <w:rFonts w:eastAsia="Times New Roman"/>
          <w:color w:val="000000"/>
        </w:rPr>
        <w:br/>
        <w:t>• сума доходiв вiд реалiзацiї може бути достовiрно визначена;</w:t>
      </w:r>
      <w:r>
        <w:rPr>
          <w:rFonts w:eastAsia="Times New Roman"/>
          <w:color w:val="000000"/>
        </w:rPr>
        <w:br/>
        <w:t xml:space="preserve">• iснує вiрогiднiсть, що економiчнi вигоди, пов’язанi з операцiєю, надiйдуть до Товариства; та </w:t>
      </w:r>
      <w:r>
        <w:rPr>
          <w:rFonts w:eastAsia="Times New Roman"/>
          <w:color w:val="000000"/>
        </w:rPr>
        <w:br/>
        <w:t>• понесенi або очiкуванi витрати, пов’язанi з операцiєю, можуть бути достовiрно визначенi.</w:t>
      </w:r>
      <w:r>
        <w:rPr>
          <w:rFonts w:eastAsia="Times New Roman"/>
          <w:color w:val="000000"/>
        </w:rPr>
        <w:br/>
        <w:t>Як правило доходи вiд реалiзацiї товарiв визнаються в перiодi їх поставки та передачi права власностi на них.</w:t>
      </w:r>
      <w:r>
        <w:rPr>
          <w:rFonts w:eastAsia="Times New Roman"/>
          <w:color w:val="000000"/>
        </w:rPr>
        <w:br/>
        <w:t>Надання послуг – Виручка за договорами надання послуг визнається виходячи iз ступеню завершеностi. Ступiнь завершеностi процесу надання послуг за договорами визначається таким чином:</w:t>
      </w:r>
      <w:r>
        <w:rPr>
          <w:rFonts w:eastAsia="Times New Roman"/>
          <w:color w:val="000000"/>
        </w:rPr>
        <w:br/>
        <w:t>• сума доходiв вiд реалiзацiї може бути достовiрно визначена;</w:t>
      </w:r>
      <w:r>
        <w:rPr>
          <w:rFonts w:eastAsia="Times New Roman"/>
          <w:color w:val="000000"/>
        </w:rPr>
        <w:br/>
        <w:t>• iснує висока вiрогiднiсть отримання економiчних вигiд, пов’язаних з операцiєю;</w:t>
      </w:r>
      <w:r>
        <w:rPr>
          <w:rFonts w:eastAsia="Times New Roman"/>
          <w:color w:val="000000"/>
        </w:rPr>
        <w:br/>
        <w:t>• етап завершеностi операцiї на кiнець звiтного перiоду можна достовiрно визначити; та</w:t>
      </w:r>
      <w:r>
        <w:rPr>
          <w:rFonts w:eastAsia="Times New Roman"/>
          <w:color w:val="000000"/>
        </w:rPr>
        <w:br/>
        <w:t>• витрати, понесенi за операцiєю, та витрати на її завершення можна достовiрно оцiнити.</w:t>
      </w:r>
      <w:r>
        <w:rPr>
          <w:rFonts w:eastAsia="Times New Roman"/>
          <w:color w:val="000000"/>
        </w:rPr>
        <w:br/>
        <w:t>Доходи з вiдсоткiв – Доходи з вiдсоткiв вiд фiнансового активу визнаються тодi, коли iснує вiрогiднiсть надходження економiчних вигiд для Товариства, i суму доходiв можна визначити достовiрно. Доходи з вiдсоткiв нараховуються на основi розподiлу за часом, з урахуванням основної суми заборгованостi та ефективної вiдсоткової ставки, яка застосовується, що являє собою ставку, яка точно дисконтує очiкуванi суми майбутнiх надходжень грошових коштiв протягом очiкуваного строку корисного використання фiнансового активу до чистої балансової вартостi даного активу при первiсному визнаннi.</w:t>
      </w:r>
      <w:r>
        <w:rPr>
          <w:rFonts w:eastAsia="Times New Roman"/>
          <w:color w:val="000000"/>
        </w:rPr>
        <w:br/>
        <w:t>Функцiональна валюта та валюта подання – Функцiональною валютою та валютою подання даної фiнансової звiтностi Товариства є українська гривня. Операцiї у валютах, якi вiдрiзняються вiд функцiональної валюти Товариства, вважаються операцiями в iноземних валютах.</w:t>
      </w:r>
      <w:r>
        <w:rPr>
          <w:rFonts w:eastAsia="Times New Roman"/>
          <w:color w:val="000000"/>
        </w:rPr>
        <w:br/>
        <w:t>Операцiї в iноземних валютах – Операцiї у валютах, якi вiдрiзняються вiд української гривнi, у перiодi не проводились.</w:t>
      </w:r>
      <w:r>
        <w:rPr>
          <w:rFonts w:eastAsia="Times New Roman"/>
          <w:color w:val="000000"/>
        </w:rPr>
        <w:br/>
        <w:t>Iнвестицiйнi доходи – Доходи, заробленi за тимчасовою iнвестицiєю спецiальних позик, якi очiкують своїх витрат за квалiфiкованими активами, вираховуються iз суми витрат за позиками, якi пiдлягають капiталiзацiї.</w:t>
      </w:r>
      <w:r>
        <w:rPr>
          <w:rFonts w:eastAsia="Times New Roman"/>
          <w:color w:val="000000"/>
        </w:rPr>
        <w:br/>
        <w:t>Усi iншi витрати за позиками визнаються у складi прибутку або збитку того перiоду, в якому вони були понесенi.</w:t>
      </w:r>
      <w:r>
        <w:rPr>
          <w:rFonts w:eastAsia="Times New Roman"/>
          <w:color w:val="000000"/>
        </w:rPr>
        <w:br/>
        <w:t>Податок на прибуток – Витрати з податку на прибуток за рiк становлять суму поточного податку i вiдстроченого податку.</w:t>
      </w:r>
      <w:r>
        <w:rPr>
          <w:rFonts w:eastAsia="Times New Roman"/>
          <w:color w:val="000000"/>
        </w:rPr>
        <w:br/>
        <w:t>Поточний податок – Податок, який пiдлягає сплатi у поточному перiодi, базується на оподатковуваному прибутку за рiк. Оподатковуваний прибуток вiдрiзняється вiд прибутку або збитку, вiдображеного у звiтi про сукупнi збитки, тому що в нього не включенi статтi доходiв або витрат, якi пiдлягають оподатковуванню або вiдносяться на витрати в цiлях оподаткування в iншi роки, а також тому що в нього не включаються статтi, якi нiколи не пiдлягають оподатковуванню або не вiдносяться на витрати в цiлях оподаткування. Зобов’язання Товариства з поточного податку на прибуток розраховується з використанням дiючих податкових ставок на звiтну дату.</w:t>
      </w:r>
      <w:r>
        <w:rPr>
          <w:rFonts w:eastAsia="Times New Roman"/>
          <w:color w:val="000000"/>
        </w:rPr>
        <w:br/>
        <w:t>Вiдстрочений податок – Вiдстрочений податок визнається стосовно рiзниць мiж балансовою вартiстю активiв i зобов’язань у фiнансовiй звiтностi та вiдповiдними податковими базами, якi використовуються для розрахунку оподатковуваного прибутку. Вiдстроченi податковi зобов’язання зазвичай визнаються для всiх оподатковуваних тимчасових рiзниць, а вiдстроченi податковi активи зазвичай визнаються для всiх тимчасових рiзниць, якi вiдносяться на витрати в цiлях оподаткування, у тому обсязi, щодо якого iснує ймовiрнiсть того, що буде отриманий оподатковуваний прибуток, за рахунок якого можна буде реалiзувати цi тимчасовi рiзницi, якi вiдносять на витрати в цiлях оподаткування. Такi активи i зобов’язання не визнаються, якщо тимчасовi рiзницi виникають з гудвiла або у результатi первiсного визнання (крiм випадкiв об’єднання пiдприємств) iнших активiв i зобов’язань в рамках операцiї, яка не впливає нi на оподатковуваний прибуток, нi на облiковий прибуток.</w:t>
      </w:r>
      <w:r>
        <w:rPr>
          <w:rFonts w:eastAsia="Times New Roman"/>
          <w:color w:val="000000"/>
        </w:rPr>
        <w:br/>
        <w:t xml:space="preserve">Балансова вартiсть вiдстрочених податкових активiв переглядається на кожну звiтну дату i зменшується у тiй мiрi, в якiй вiдсутня ймовiрнiсть одержання достатнього оподатковуваного </w:t>
      </w:r>
      <w:r>
        <w:rPr>
          <w:rFonts w:eastAsia="Times New Roman"/>
          <w:color w:val="000000"/>
        </w:rPr>
        <w:lastRenderedPageBreak/>
        <w:t>прибутку, який дозволить вiдшкодувати всю або частину суми цього активу.</w:t>
      </w:r>
      <w:r>
        <w:rPr>
          <w:rFonts w:eastAsia="Times New Roman"/>
          <w:color w:val="000000"/>
        </w:rPr>
        <w:br/>
        <w:t>Вiдстроченi податковi активи та зобов’язання оцiнюються за податковими ставками, якi, як очiкується, будуть застосовуватися у тому перiодi, в якому актив буде реалiзований або буде погашене зобов’язання, на основi дiючих або фактично дiючих податкових ставок (або податкових законiв) на звiтну дату. Оцiнка вiдстрочених податкових зобов’язань i активiв вiдображає податковi наслiдки, якi можуть виникнути у результатi використання Товариством на звiтну дату того або iншого методу для вiдшкодування або погашення балансової вартостi своїх активiв та зобов’язань.</w:t>
      </w:r>
      <w:r>
        <w:rPr>
          <w:rFonts w:eastAsia="Times New Roman"/>
          <w:color w:val="000000"/>
        </w:rPr>
        <w:br/>
        <w:t xml:space="preserve">Вiдстроченi податковi активи та зобов’язання взаємно залiковуються, коли iснує юридично закрiплене право залiку поточних податкових активiв i поточних податкових зобов’язань, коли вони вiдносяться до податкiв на прибуток, якi стягуються одним i тим самим податковим органом, i Товариство має намiр зарахувати поточнi податковi активи та зобов’язання на нетто-основi. </w:t>
      </w:r>
      <w:r>
        <w:rPr>
          <w:rFonts w:eastAsia="Times New Roman"/>
          <w:color w:val="000000"/>
        </w:rPr>
        <w:br/>
        <w:t>Поточний та вiдстрочений податки за перiод – Поточний та вiдстрочений податки визнаються у складi прибутку або збитку, за винятком випадкiв коли вони вiдносяться до статей, якi визнаються у складi iншого сукупного доходу або безпосередньо у складi власного капiталу. У цьому випадку поточний та вiдстрочений податки також визнаються у складi iншого сукупного доходу або безпосередньо у складi власного капiталу, вiдповiдно. У випадку коли поточний або вiдстрочений податки виникають у результатi первiсного облiку об’єднання бiзнесу, податковий вплив включається до облiку операцiй об’єднання бiзнесу.</w:t>
      </w:r>
      <w:r>
        <w:rPr>
          <w:rFonts w:eastAsia="Times New Roman"/>
          <w:color w:val="000000"/>
        </w:rPr>
        <w:br/>
        <w:t>Основнi засоби – Основнi засоби вiдображаються за iсторичною вартiстю, за вирахуванням накопиченого зносу та накопичених збиткiв вiд зменшення корисностi. Iсторична вартiсть об’єкта основних засобiв включає: (а) цiну придбання, включно з iмпортними митами i податками, якi не вiдшкодовуються, за вирахуванням торгових та цiнових знижок; (б) будь-якi витрати, якi безпосередньо пов’язанi з доставкою об’єкта до мiсця розташування та приведення його у стан, необхiдний для експлуатацiї вiдповiдно до намiрiв керiвництва Товариства; (в) первiсну оцiнку витрат на демонтаж i видалення об’єкта основних засобiв та вiдновлення територiї, на якiй вiн розташований, зобов’язання за якими пiдприємство бере на себе або пiд час придбання даного об’єкта, або внаслiдок його експлуатацiї протягом певного перiоду часу з метою, яка вiдрiзняється вiд виробництва запасiв протягом цього перiоду. Вартiсть активiв, створених власними силами, включає первiсну вартiсть матерiалiв, прямi витрати на оплату працi та вiдповiдну частину виробничих накладних витрат.</w:t>
      </w:r>
      <w:r>
        <w:rPr>
          <w:rFonts w:eastAsia="Times New Roman"/>
          <w:color w:val="000000"/>
        </w:rPr>
        <w:br/>
        <w:t>Iстотнi витрати на модернiзацiю та замiну частин активiв, якi збiльшують строк їхнього корисного використання або покращують їхню здатнiсть генерувати доходи, капiталiзуються у складi первiсної вартостi цих активiв. Витрати на ремонт та обслуговування основних засобiв, якi не вiдповiдають наведеним вище критерiям капiталiзацiї, включаються до складу прибутку або збитку того перiоду, в якому вони були понесенi.</w:t>
      </w:r>
      <w:r>
        <w:rPr>
          <w:rFonts w:eastAsia="Times New Roman"/>
          <w:color w:val="000000"/>
        </w:rPr>
        <w:br/>
        <w:t>Сума, яка пiдлягає амортизацiї, становить первiсну вартiсть об’єкта основних засобiв, за вирахуванням його лiквiдацiйної вартостi. Лiквiдацiйна вартiсть активу – це очiкувана сума, яку Товариство одержало б на даний момент вiд реалiзацiї об’єкта основних засобiв пiсля вирахування очiкуваних витрат на вибуття, якби даний актив уже досяг того вiку й стану, у якому, як можна очiкувати, вiн буде перебувати наприкiнцi строку свого корисного використання.</w:t>
      </w:r>
      <w:r>
        <w:rPr>
          <w:rFonts w:eastAsia="Times New Roman"/>
          <w:color w:val="000000"/>
        </w:rPr>
        <w:br/>
        <w:t>Амортизацiя основних засобiв призначена для списання суми, яка пiдлягає амортизацiї, протягом строку корисного використання вiдповiдного активу i розраховується з використанням прямолiнiйного методу. Очiкуванi строки корисного використання представленi таким чином (кiлькiсть рокiв):</w:t>
      </w:r>
      <w:r>
        <w:rPr>
          <w:rFonts w:eastAsia="Times New Roman"/>
          <w:color w:val="000000"/>
        </w:rPr>
        <w:br/>
        <w:t>Будинки та споруди 20-70</w:t>
      </w:r>
      <w:r>
        <w:rPr>
          <w:rFonts w:eastAsia="Times New Roman"/>
          <w:color w:val="000000"/>
        </w:rPr>
        <w:br/>
        <w:t>Передавальнi пристрої 15-35</w:t>
      </w:r>
      <w:r>
        <w:rPr>
          <w:rFonts w:eastAsia="Times New Roman"/>
          <w:color w:val="000000"/>
        </w:rPr>
        <w:br/>
        <w:t>Силовi та робочi машини i обладнання 5-40</w:t>
      </w:r>
      <w:r>
        <w:rPr>
          <w:rFonts w:eastAsia="Times New Roman"/>
          <w:color w:val="000000"/>
        </w:rPr>
        <w:br/>
        <w:t>Транспортнi засоби 5-14</w:t>
      </w:r>
      <w:r>
        <w:rPr>
          <w:rFonts w:eastAsia="Times New Roman"/>
          <w:color w:val="000000"/>
        </w:rPr>
        <w:br/>
        <w:t>Iншi основнi засоби 1-15</w:t>
      </w:r>
      <w:r>
        <w:rPr>
          <w:rFonts w:eastAsia="Times New Roman"/>
          <w:color w:val="000000"/>
        </w:rPr>
        <w:br/>
        <w:t>Земельнi дiлянки Не амортизуються</w:t>
      </w:r>
      <w:r>
        <w:rPr>
          <w:rFonts w:eastAsia="Times New Roman"/>
          <w:color w:val="000000"/>
        </w:rPr>
        <w:br/>
      </w:r>
      <w:r>
        <w:rPr>
          <w:rFonts w:eastAsia="Times New Roman"/>
          <w:color w:val="000000"/>
        </w:rPr>
        <w:br/>
        <w:t xml:space="preserve">Прибуток або збиток, який виникає у результатi вибуття або списання об’єкта основних засобiв, </w:t>
      </w:r>
      <w:r>
        <w:rPr>
          <w:rFonts w:eastAsia="Times New Roman"/>
          <w:color w:val="000000"/>
        </w:rPr>
        <w:lastRenderedPageBreak/>
        <w:t>визначається як рiзниця мiж надходженнями вiд реалiзацiї та балансовою вартiстю активу i визнається у складi прибутку або збитку.</w:t>
      </w:r>
      <w:r>
        <w:rPr>
          <w:rFonts w:eastAsia="Times New Roman"/>
          <w:color w:val="000000"/>
        </w:rPr>
        <w:br/>
        <w:t xml:space="preserve">Незавершене будiвництво включає витрати, безпосередньо пов’язанi з будiвництвом основних засобiв. Незавершене будiвництво не амортизується. Амортизацiя незавершеного будiвництва, на основi методу, який застосовується до iнших об’єктiв основних засобiв, починається з моменту готовностi даних активiв до експлуатацiї, тобто коли вони перебувають у тому мiсцi й станi, якi необхiднi, щоб їх можна було використовувати за призначенням, визначеним керiвництвом. </w:t>
      </w:r>
      <w:r>
        <w:rPr>
          <w:rFonts w:eastAsia="Times New Roman"/>
          <w:color w:val="000000"/>
        </w:rPr>
        <w:br/>
        <w:t>Зменшення корисностi основних засобiв – На кожну звiтну дату Товариство переглядає балансову вартiсть своїх основних засобiв з метою визначення, чи iснують будь-якi свiдчення того, що такi активи зазнали збитку вiд зменшення корисностi. У разi наявностi таких свiдчень Товариство здiйснює оцiнку суми вiдшкодування вiдповiдного активу для визначення розмiру збитку вiд зменшення корисностi (якщо таке зменшення корисностi мало мiсце). Якщо неможливо здiйснити оцiнку суми вiдшкодування окремого активу, Товариство оцiнює суму вiдшкодування одиницi, яка генерує грошовi кошти, до якої належить цей актив. У випадках коли можна визначити обґрунтовану та послiдовну основу для розподiлу активiв, корпоративнi активи також розподiляються на окремi одиницi, якi генерують грошовi кошти, або, iнакше, вони розподiляються до найменшої групи одиниць, якi генерують грошовi кошти, для яких можна визначити обґрунтовану та послiдовну основу для розподiлу.</w:t>
      </w:r>
      <w:r>
        <w:rPr>
          <w:rFonts w:eastAsia="Times New Roman"/>
          <w:color w:val="000000"/>
        </w:rPr>
        <w:br/>
        <w:t xml:space="preserve">Сума очiкуваного вiдшкодування являє собою бiльшу з величин: справедливої вартостi, за вирахуванням витрат </w:t>
      </w:r>
      <w:proofErr w:type="gramStart"/>
      <w:r>
        <w:rPr>
          <w:rFonts w:eastAsia="Times New Roman"/>
          <w:color w:val="000000"/>
        </w:rPr>
        <w:t>на продаж</w:t>
      </w:r>
      <w:proofErr w:type="gramEnd"/>
      <w:r>
        <w:rPr>
          <w:rFonts w:eastAsia="Times New Roman"/>
          <w:color w:val="000000"/>
        </w:rPr>
        <w:t>, та вартостi використання. При проведеннi оцiнки вартостi використання сума очiкуваних майбутнiх потокiв грошових коштiв дисконтується до їхньої теперiшньої вартостi з використанням ставки дисконтування до оподаткування, яка вiдображає поточнi ринковi оцiнки вартостi грошей у часi та ризики, характернi для активу, стосовно якого не були скоригованi оцiнки майбутнiх потокiв грошових коштiв.</w:t>
      </w:r>
      <w:r>
        <w:rPr>
          <w:rFonts w:eastAsia="Times New Roman"/>
          <w:color w:val="000000"/>
        </w:rPr>
        <w:br/>
        <w:t>Якщо, за оцiнками, сума очiкуваного вiдшкодування активу (або одиницi, яка генерує грошовi кошти) менша за його балансову вартiсть, то балансова вартiсть активу (або одиницi, яка генерує грошовi кошти) зменшується до суми його очiкуваного вiдшкодування. Збитки вiд зменшення корисностi визнаються негайно у складi прибутку або збитку.</w:t>
      </w:r>
      <w:r>
        <w:rPr>
          <w:rFonts w:eastAsia="Times New Roman"/>
          <w:color w:val="000000"/>
        </w:rPr>
        <w:br/>
        <w:t>У випадках коли збиток вiд зменшення корисностi у подальшому сторнується, балансова вартiсть активу (або одиницi, яка генерує грошовi кошти) збiльшується до переглянутої оцiнки його суми вiдшкодування, але таким чином, щоб збiльшена балансова вартiсть не перевищувала балансову вартiсть, яка була б визначена, якби для активу (або одиницi, яка генерує грошовi кошти) у попереднi роки не був визнаний збиток вiд зменшення корисностi. Сторнування збитку вiд зменшення корисностi визнається негайно у складi прибутку або збитку.</w:t>
      </w:r>
      <w:r>
        <w:rPr>
          <w:rFonts w:eastAsia="Times New Roman"/>
          <w:color w:val="000000"/>
        </w:rPr>
        <w:br/>
        <w:t>Нематерiальнi активи – Нематерiальнi активи вiдображаються за первiсною вартiстю, за вирахуванням накопиченої амортизацiї та накопичених збиткiв вiд знецiнення. Подальшi витрати на нематерiальнi активи капiталiзуються тiльки у тому випадку, коли вони збiльшують майбутнi економiчнi вигоди, втiленi у конкретних активах, до яких вони вiдносяться. Усi iншi витрати вiдносяться на витрати у тому перiодi, в якому вони були понесенi.</w:t>
      </w:r>
      <w:r>
        <w:rPr>
          <w:rFonts w:eastAsia="Times New Roman"/>
          <w:color w:val="000000"/>
        </w:rPr>
        <w:br/>
        <w:t>Амортизацiя визнається на прямолiнiйнiй основi протягом очiкуваного строку корисного використання нематерiальних активiв, який, як передбачається, не перевищує перiод у десять рокiв.</w:t>
      </w:r>
      <w:r>
        <w:rPr>
          <w:rFonts w:eastAsia="Times New Roman"/>
          <w:color w:val="000000"/>
        </w:rPr>
        <w:br/>
        <w:t>Запаси – Запаси у фiнансовiй звiтностi вiдображаються за меншою з величин: первiсної вартостi та чистої вартостi реалiзацiї. Вартiсть запасiв, включно з вiдповiдною частиною фiксованих та змiнних накладних витрат, вiдносяться на собiвартiсть за методом ФIФО. Чиста вартiсть реалiзацiї визначається, виходячи з розрахункової цiни продажу запасiв, за вирахуванням усiх очiкуваних витрат на завершення виробництва та реалiзацiю.</w:t>
      </w:r>
      <w:r>
        <w:rPr>
          <w:rFonts w:eastAsia="Times New Roman"/>
          <w:color w:val="000000"/>
        </w:rPr>
        <w:br/>
        <w:t>Забезпечення – Забезпечення визнаються, коли Товариство має поточне зобов’язання (юридичне або конструктивне) внаслiдок минулої подiї, i при цьому iснує ймовiрнiсть, що Товариство буде змушена погасити це зобов’язання, i можна зробити достовiрну оцiнку цього зобов’язання.</w:t>
      </w:r>
      <w:r>
        <w:rPr>
          <w:rFonts w:eastAsia="Times New Roman"/>
          <w:color w:val="000000"/>
        </w:rPr>
        <w:br/>
        <w:t xml:space="preserve">Сума, визнана як забезпечення майбутнiх виплат, являє собою найкращу оцiнку компенсацiї, необхiдної для погашення поточного зобов’язання на звiтну дату, з урахуванням усiх ризикiв та невизначеностi, характерних для цього зобов’язання. У випадках коли сума резерву оцiнюється з </w:t>
      </w:r>
      <w:r>
        <w:rPr>
          <w:rFonts w:eastAsia="Times New Roman"/>
          <w:color w:val="000000"/>
        </w:rPr>
        <w:lastRenderedPageBreak/>
        <w:t>використанням потокiв грошових коштiв, якi, як очiкується, будуть необхiднi для погашення поточних зобов’язань, його балансова вартiсть являє собою теперiшню вартiсть цих потокiв грошових коштiв.</w:t>
      </w:r>
      <w:r>
        <w:rPr>
          <w:rFonts w:eastAsia="Times New Roman"/>
          <w:color w:val="000000"/>
        </w:rPr>
        <w:br/>
        <w:t>У випадках коли очiкується, що економiчнi вигоди, необхiднi для вiдновлення суми забезпечення, будуть вiдшкодованi третьою стороною, дебiторська заборгованiсть визнається як актив, якщо iснує достатня впевненiсть у тому, що таке вiдшкодування буде отримане, i сума майбутнього вiдшкодування може бути достовiрно визначена.</w:t>
      </w:r>
      <w:r>
        <w:rPr>
          <w:rFonts w:eastAsia="Times New Roman"/>
          <w:color w:val="000000"/>
        </w:rPr>
        <w:br/>
        <w:t>Фiнансовi iнструменти – Товариство визнає фiнансовi активи та зобов’язання у своєму звiтi про фiнансовий стан, коли воно стає стороною у контрактних взаємовiдносинах щодо певного iнструмента. Звичайне придбання та продаж фiнансових активiв i зобов’язань визнається з використанням методу облiку на дату розрахункiв. Звичайне придбання фiнансових iнструментiв, якi у подальшому оцiнюватимуться за справедливою вартiстю мiж датою продажу та датою розрахунку, облiковується таким само способом, що й придбанi iнструменти.</w:t>
      </w:r>
      <w:r>
        <w:rPr>
          <w:rFonts w:eastAsia="Times New Roman"/>
          <w:color w:val="000000"/>
        </w:rPr>
        <w:br/>
        <w:t>Фiнансовi активи та фiнансовi зобов’язання первiсно оцiнюються за справедливою вартiстю. Витрати на здiйснення операцiї, якi безпосередньо стосуються придбання або випуску фiнансових активiв та фiнансових зобов’язань (окрiм фiнансових активiв та фiнансових зобов’язань, якi вiдображаються за справедливою вартiстю, з вiдображенням переоцiнки через прибуток або збиток) додаються до або вираховуються зi справедливої вартостi фiнансових активiв або фiнансових зобов’язань, вiдповiдно, пiд час первiсного визнання. Витрати на здiйснення операцiї, якi безпосередньо стосуються придбання фiнансових активiв або фiнансових зобов’язань, якi вiдображаються за справедливою вартiстю, з вiдображенням переоцiнки через прибуток або збиток, визнаються негайно у складi прибутку або збитку.</w:t>
      </w:r>
      <w:r>
        <w:rPr>
          <w:rFonts w:eastAsia="Times New Roman"/>
          <w:color w:val="000000"/>
        </w:rPr>
        <w:br/>
        <w:t>Фiнансовi активи та фiнансовi зобов’язання взаємно зараховуються, а чистi суми вiдображаються у звiтi про фiнансовий стан тiльки тодi, коли Товариство має юридично закрiплене право залiку визнаних сум та має намiр або погасити їх на нетто-основi, або одночасно реалiзувати актив i погасити зобов’язання.</w:t>
      </w:r>
      <w:r>
        <w:rPr>
          <w:rFonts w:eastAsia="Times New Roman"/>
          <w:color w:val="000000"/>
        </w:rPr>
        <w:br/>
        <w:t>Метод ефективної ставки вiдсотка – Метод розрахунку амортизованої вартостi фiнансового активу (зобов’язання) та розподiлу доходiв (витрат) з вiдсоткiв протягом вiдповiдного перiоду. Ефективна вiдсоткова ставка – це ставка, яка точно дисконтує очiкуванi майбутнi надходження (виплати) грошових коштiв (у тому числi усi гонорари за договорами сплаченi або отриманi, якi становлять невiд’ємну частину ефективної ставки вiдсотка, витрати на здiйснення операцiї та iншi премiї або дисконти) протягом очiкуваного строку використання фiнансового активу (зобов’язання) або, коли доцiльно, коротшого перiоду.</w:t>
      </w:r>
      <w:r>
        <w:rPr>
          <w:rFonts w:eastAsia="Times New Roman"/>
          <w:color w:val="000000"/>
        </w:rPr>
        <w:br/>
        <w:t>Фiнансовi активи – Фiнансовi активи класифiкуються на такi спецiальнi категорiї:</w:t>
      </w:r>
      <w:r>
        <w:rPr>
          <w:rFonts w:eastAsia="Times New Roman"/>
          <w:color w:val="000000"/>
        </w:rPr>
        <w:br/>
        <w:t>• фiнансовi активи, що облiковуються за справедливою вартiстю, з визнанням переоцiнки через прибуток або збиток;</w:t>
      </w:r>
      <w:r>
        <w:rPr>
          <w:rFonts w:eastAsia="Times New Roman"/>
          <w:color w:val="000000"/>
        </w:rPr>
        <w:br/>
        <w:t>• iнвестицiї, що утримуються до погашення;</w:t>
      </w:r>
      <w:r>
        <w:rPr>
          <w:rFonts w:eastAsia="Times New Roman"/>
          <w:color w:val="000000"/>
        </w:rPr>
        <w:br/>
        <w:t xml:space="preserve">• фiнансовi активи, що утримуються для продажу; </w:t>
      </w:r>
      <w:r>
        <w:rPr>
          <w:rFonts w:eastAsia="Times New Roman"/>
          <w:color w:val="000000"/>
        </w:rPr>
        <w:br/>
        <w:t xml:space="preserve">• дебiторська заборгованiсть. </w:t>
      </w:r>
      <w:r>
        <w:rPr>
          <w:rFonts w:eastAsia="Times New Roman"/>
          <w:color w:val="000000"/>
        </w:rPr>
        <w:br/>
        <w:t>Класифiкацiя залежить вiд характеру та цiлей фiнансових активiв i визначається на момент їхнього первiсного визнання. Фiнансовi активи Товариства, в основному, представленi “дебiторською заборгованiстю”.</w:t>
      </w:r>
      <w:r>
        <w:rPr>
          <w:rFonts w:eastAsia="Times New Roman"/>
          <w:color w:val="000000"/>
        </w:rPr>
        <w:br/>
        <w:t xml:space="preserve">Депозити та дебiторська заборгованiсть – є непохiдними фiнансовими активами iз фiксованими платежами або платежами, якi можна визначити, якi не мають котирування </w:t>
      </w:r>
      <w:proofErr w:type="gramStart"/>
      <w:r>
        <w:rPr>
          <w:rFonts w:eastAsia="Times New Roman"/>
          <w:color w:val="000000"/>
        </w:rPr>
        <w:t>на активному ринку</w:t>
      </w:r>
      <w:proofErr w:type="gramEnd"/>
      <w:r>
        <w:rPr>
          <w:rFonts w:eastAsia="Times New Roman"/>
          <w:color w:val="000000"/>
        </w:rPr>
        <w:t>. Депозити та дебiторська заборгованiсть (у тому числi торгова та iнша дебiторська заборгованiсть) оцiнюються за амортизованою вартiстю з використанням методу ефективної вiдсоткової ставки, за вирахуванням будь-якого збитку вiд зменшення корисностi.</w:t>
      </w:r>
      <w:r>
        <w:rPr>
          <w:rFonts w:eastAsia="Times New Roman"/>
          <w:color w:val="000000"/>
        </w:rPr>
        <w:br/>
        <w:t>Доходи з вiдсоткiв визнаються iз застосуванням методу ефективної вiдсоткової ставки, за винятком короткострокової дебiторської заборгованостi, коли визнання вiдсоткiв не буде мати iстотного впливу.</w:t>
      </w:r>
      <w:r>
        <w:rPr>
          <w:rFonts w:eastAsia="Times New Roman"/>
          <w:color w:val="000000"/>
        </w:rPr>
        <w:br/>
        <w:t>Грошовi кошти та їх еквiваленти – Грошовi кошти та їх еквiваленти включають грошовi кошти в касi, грошовi кошти на банкiвських рахунках, якi можна швидко конвертувати у готiвку, та депозити iз первiсним термiном погашення менше трьох мiсяцiв.</w:t>
      </w:r>
      <w:r>
        <w:rPr>
          <w:rFonts w:eastAsia="Times New Roman"/>
          <w:color w:val="000000"/>
        </w:rPr>
        <w:br/>
      </w:r>
      <w:r>
        <w:rPr>
          <w:rFonts w:eastAsia="Times New Roman"/>
          <w:color w:val="000000"/>
        </w:rPr>
        <w:lastRenderedPageBreak/>
        <w:t>Зменшення корисностi фiнансових активiв – Фiнансовi активи оцiнюються на наявнiсть ознак знецiнення на кожну звiтну дату. Фiнансовi активи вважаються знецiненими, коли iснують об’єктивнi свiдчення того, що у результатi однiєї або бiльше подiй, якi вiдбулися пiсля первiсного визнання фiнансового активу, очiкуваний майбутнiй рух грошових коштiв вiд даної iнвестицiї зазнав негативного впливу.</w:t>
      </w:r>
      <w:r>
        <w:rPr>
          <w:rFonts w:eastAsia="Times New Roman"/>
          <w:color w:val="000000"/>
        </w:rPr>
        <w:br/>
        <w:t>Об’єктивнi свiдчення знецiнення можуть включати:</w:t>
      </w:r>
      <w:r>
        <w:rPr>
          <w:rFonts w:eastAsia="Times New Roman"/>
          <w:color w:val="000000"/>
        </w:rPr>
        <w:br/>
        <w:t>• значнi фiнансовi труднощi контрагента; або</w:t>
      </w:r>
      <w:r>
        <w:rPr>
          <w:rFonts w:eastAsia="Times New Roman"/>
          <w:color w:val="000000"/>
        </w:rPr>
        <w:br/>
        <w:t>• невиконання зобов’язань, або несплата у строк вiдсоткiв, або основної суми заборгованостi; або</w:t>
      </w:r>
      <w:r>
        <w:rPr>
          <w:rFonts w:eastAsia="Times New Roman"/>
          <w:color w:val="000000"/>
        </w:rPr>
        <w:br/>
        <w:t>• коли стає вiрогiдним, що боржник збанкрутує або буде проводити фiнансову реорганiзацiю;</w:t>
      </w:r>
      <w:r>
        <w:rPr>
          <w:rFonts w:eastAsia="Times New Roman"/>
          <w:color w:val="000000"/>
        </w:rPr>
        <w:br/>
        <w:t>• зникнення активного ринку для цього фiнансового активу через фiнансовi труднощi.</w:t>
      </w:r>
      <w:r>
        <w:rPr>
          <w:rFonts w:eastAsia="Times New Roman"/>
          <w:color w:val="000000"/>
        </w:rPr>
        <w:br/>
        <w:t>Торгова дебiторська заборгованiсть оцiнюється на предмет зменшення корисностi на iндивiдуальнiй основi. Для торгової дебiторської заборгованостi балансова вартiсть зменшується через використання резерву на покриття збиткiв вiд сумнiвної заборгованостi. У тих випадках, коли торгова дебiторська заборгованiсть вважається безнадiйною, вона списується за рахунок резерву на покриття збиткiв вiд знецiнення. Подальше вiдшкодування ранiше списаних сум проводиться за рахунок резервiв. Змiна балансової вартостi резерву на покриття збиткiв вiд знецiнення визнається у складi прибутку або збитку.</w:t>
      </w:r>
      <w:r>
        <w:rPr>
          <w:rFonts w:eastAsia="Times New Roman"/>
          <w:color w:val="000000"/>
        </w:rPr>
        <w:br/>
        <w:t>Якщо у подальшi перiоди сума збитку вiд знецiнення зменшується i таке зменшення можна об’єктивно вiднести до подiї, яка вiдбулася пiсля визнання знецiнення, то ранiше визнаний збиток вiд знецiнення сторнується за рахунок прибутку або збитку у тiй мiрi, в якiй балансова вартiсть iнвестицiї на дату сторнування знецiнення не перевищує вiрогiдну суму амортизованої вартостi, якби знецiнення не було визнане.</w:t>
      </w:r>
      <w:r>
        <w:rPr>
          <w:rFonts w:eastAsia="Times New Roman"/>
          <w:color w:val="000000"/>
        </w:rPr>
        <w:br/>
        <w:t xml:space="preserve">Припинення визнання фiнансових активiв – Товариство припиняє визнавати фiнансовий актив лише в тих випадках, коли припиняють свою дiю договiрнi права на грошовi потоки вiд цього активу; або ж коли воно передає фiнансовий актив i всi iстотнi ризики й вигоди, пов’язанi з володiнням цим активом, третiй особi. </w:t>
      </w:r>
      <w:r>
        <w:rPr>
          <w:rFonts w:eastAsia="Times New Roman"/>
          <w:color w:val="000000"/>
        </w:rPr>
        <w:br/>
        <w:t>Пiсля повного припинення визнання фiнансового активу, рiзниця мiж балансовою вартiстю активу та сумою отриманої компенсацiї та накопиченим прибутком або збитком, який був визнаний у складi iнших сукупних доходiв та накопичений у складi власного капiталу, визнається у складi прибутку або збитку.</w:t>
      </w:r>
      <w:r>
        <w:rPr>
          <w:rFonts w:eastAsia="Times New Roman"/>
          <w:color w:val="000000"/>
        </w:rPr>
        <w:br/>
        <w:t>Фiнансовi зобов’язання та iнструменти власного капiталу, випущенi Товариством</w:t>
      </w:r>
      <w:r>
        <w:rPr>
          <w:rFonts w:eastAsia="Times New Roman"/>
          <w:color w:val="000000"/>
        </w:rPr>
        <w:br/>
        <w:t xml:space="preserve">Класифiкацiя як боргу або iнструментiв власного капiталу – Борговi iнструменти та iнструменти власного капiталу класифiкуються або як фiнансовi зобов’язання, або як власний капiтал у залежностi вiд сутностi договiрних вiдносин та визначень фiнансового зобов’язання та iнструмента власного капiталу. </w:t>
      </w:r>
      <w:r>
        <w:rPr>
          <w:rFonts w:eastAsia="Times New Roman"/>
          <w:color w:val="000000"/>
        </w:rPr>
        <w:br/>
        <w:t>Акцiонерний капiтал – Iнструмент власного капiталу представляє собою будь-який договiр, який дає право на залишкову частку в активах пiдприємства пiсля вирахування усiх його зобов’язань. Iнструменти власного капiталу, випущенi Товариством, вiдображаються за сумою отриманих надходжень, за вирахуванням прямих витрат на їхнiй випуск. Iнструменти власного капiталу визнанi за iсторичною вартiстю.</w:t>
      </w:r>
      <w:r>
        <w:rPr>
          <w:rFonts w:eastAsia="Times New Roman"/>
          <w:color w:val="000000"/>
        </w:rPr>
        <w:br/>
        <w:t>Фiнансовi зобов’язання – Фiнансовi зобов’язання класифiкуються або як такi, що оцiнюються за справедливою вартiстю, з вiдображенням переоцiнки як прибутку або збитку, або як iншi фiнансовi зобов’язання.</w:t>
      </w:r>
      <w:r>
        <w:rPr>
          <w:rFonts w:eastAsia="Times New Roman"/>
          <w:color w:val="000000"/>
        </w:rPr>
        <w:br/>
        <w:t>Iншi фiнансовi зобов’язання – Iншi фiнансовi зобов’язання, включаючи торгову кредиторську заборгованiсть, первiсно оцiнюються за справедливою вартiстю, за вирахуванням витрат на здiйснення операцiї. Iншi фiнансовi зобов’язання у подальшому оцiнюються за амортизованою вартiстю з використанням методу ефективної вiдсоткової ставки, причому вiдсотковi витрати визнаються на основi фактичної дохiдностi.</w:t>
      </w:r>
      <w:r>
        <w:rPr>
          <w:rFonts w:eastAsia="Times New Roman"/>
          <w:color w:val="000000"/>
        </w:rPr>
        <w:br/>
        <w:t>Припинення визнання фiнансових зобов’язань – Товариство припиняє визнавати фiнансовi зобов’язання тодi i тiльки тодi, коли зобов’язання Товариства виконанi, анульованi або минув строк їхньої дiї. Пiсля повного припинення визнання фiнансового зобов’язання рiзниця мiж балансовою вартiстю фiнансового зобов’язання та сумою компенсацiї, яка була сплачена або пiдлягає сплатi, визнається у складi прибутку або збитку.</w:t>
      </w:r>
      <w:r>
        <w:rPr>
          <w:rFonts w:eastAsia="Times New Roman"/>
          <w:color w:val="000000"/>
        </w:rPr>
        <w:br/>
      </w:r>
      <w:r>
        <w:rPr>
          <w:rFonts w:eastAsia="Times New Roman"/>
          <w:color w:val="000000"/>
        </w:rPr>
        <w:lastRenderedPageBreak/>
        <w:t>Податковi зобов’язання – Податковi зобов’язання вiдображаються за номiнальною вартiстю.</w:t>
      </w:r>
      <w:r>
        <w:rPr>
          <w:rFonts w:eastAsia="Times New Roman"/>
          <w:color w:val="000000"/>
        </w:rPr>
        <w:br/>
        <w:t>Пенсiйнi зобов’язання, допомога при виходi на пенсiю та iншi соцiальнi виплати – Вiдповiдно до колективної угоди Товариство здiйснює одноразовi виплати пiд час виходу на пенсiю працiвникiв, якi пропрацювали тривалий час та у випадку смертi працiвникiв.</w:t>
      </w:r>
      <w:r>
        <w:rPr>
          <w:rFonts w:eastAsia="Times New Roman"/>
          <w:color w:val="000000"/>
        </w:rPr>
        <w:br/>
        <w:t>Чисте зобов’язання Товариства стосовно цих виплат не розраховується.</w:t>
      </w:r>
      <w:r>
        <w:rPr>
          <w:rFonts w:eastAsia="Times New Roman"/>
          <w:color w:val="000000"/>
        </w:rPr>
        <w:br/>
        <w:t>Умовнi зобов’язання та активи – Умовнi зобов’язання не визнаються у фiнансовiй звiтностi. Вони розкриваються у примiтках до фiнансової звiтностi, окрiм випадкiв коли ймовiрнiсть вiдтоку ресурсiв, якi втiлюють економiчнi вигоди, є незначною.</w:t>
      </w:r>
      <w:r>
        <w:rPr>
          <w:rFonts w:eastAsia="Times New Roman"/>
          <w:color w:val="000000"/>
        </w:rPr>
        <w:br/>
        <w:t>Умовнi активи не визнаються у фiнансовiй звiтностi, але розкриваються у примiтках, якщо iснує достатня ймовiрнiсть надходження економiчних вигод.</w:t>
      </w:r>
    </w:p>
    <w:p w:rsidR="00DB387B" w:rsidRDefault="00ED4C9B">
      <w:pPr>
        <w:pStyle w:val="4"/>
        <w:rPr>
          <w:rFonts w:eastAsia="Times New Roman"/>
          <w:color w:val="000000"/>
        </w:rPr>
      </w:pPr>
      <w:r>
        <w:rPr>
          <w:rFonts w:eastAsia="Times New Roman"/>
          <w:color w:val="000000"/>
        </w:rPr>
        <w:t>Продовження тексту приміток</w:t>
      </w:r>
    </w:p>
    <w:p w:rsidR="00DB387B" w:rsidRDefault="00ED4C9B">
      <w:pPr>
        <w:divId w:val="1129591273"/>
        <w:rPr>
          <w:rFonts w:eastAsia="Times New Roman"/>
          <w:color w:val="000000"/>
        </w:rPr>
      </w:pPr>
      <w:r>
        <w:rPr>
          <w:rFonts w:eastAsia="Times New Roman"/>
          <w:color w:val="000000"/>
        </w:rPr>
        <w:t>4. Нематерiальнi активи (рядки фiнансового звiту “1000”, “1001”, “1002”,)</w:t>
      </w:r>
      <w:r>
        <w:rPr>
          <w:rFonts w:eastAsia="Times New Roman"/>
          <w:color w:val="000000"/>
        </w:rPr>
        <w:br/>
        <w:t>Нематерiальнi активи представленi правом постiйного користування земельною дiлянкою, на яке не нараховується амортизацiя, та iншими нематерiальними активами.</w:t>
      </w:r>
      <w:r>
        <w:rPr>
          <w:rFonts w:eastAsia="Times New Roman"/>
          <w:color w:val="000000"/>
        </w:rPr>
        <w:br/>
        <w:t>Товариство має право строкового використання земельних дiлянок (договори оренди) для проведення Товариством його статутної дiяльностi та будiвництва, експлуатацiї, обслуговування лiнiй електропередач. Вiдповiдно до МСБО 38 "Нематерiальнi активи" таке право може бути визнано нематерiальним активом з визначеним строком використання. Вартiсть визнання нематерiального активу, визначена за вартiстю майбутнiх орендних платежiв (зроблено припущення, що пiдвищення орендної плати за рахунок iнфляцiї компенсується зменшенням теперiшньої вартостi майбутнiх платежiв). Вартiсть майбутнiх орендних платежiв складає 5 622 тисячi гривень. Пiд час розрахунку вартостi цього нематерiального активу застосована ставка дисконтування суми майбутнiх платежiв на рiвнi 10%, що є суттєвим припущенням. Незначна змiна ставки дисконтування може суттєво вплинути на вартiсть активу.</w:t>
      </w:r>
      <w:r>
        <w:rPr>
          <w:rFonts w:eastAsia="Times New Roman"/>
          <w:color w:val="000000"/>
        </w:rPr>
        <w:br/>
        <w:t>Рух нематерiальних активiв за 2017 рiк представлений таким чином:</w:t>
      </w:r>
      <w:r>
        <w:rPr>
          <w:rFonts w:eastAsia="Times New Roman"/>
          <w:color w:val="000000"/>
        </w:rPr>
        <w:br/>
        <w:t>Найменування Всього</w:t>
      </w:r>
      <w:r>
        <w:rPr>
          <w:rFonts w:eastAsia="Times New Roman"/>
          <w:color w:val="000000"/>
        </w:rPr>
        <w:br/>
        <w:t xml:space="preserve">Первiсна вартiсть </w:t>
      </w:r>
      <w:r>
        <w:rPr>
          <w:rFonts w:eastAsia="Times New Roman"/>
          <w:color w:val="000000"/>
        </w:rPr>
        <w:br/>
        <w:t xml:space="preserve">Станом на 31 грудня 2016 року 6 101 </w:t>
      </w:r>
      <w:r>
        <w:rPr>
          <w:rFonts w:eastAsia="Times New Roman"/>
          <w:color w:val="000000"/>
        </w:rPr>
        <w:br/>
        <w:t>Надходження (дооцiнка) 33</w:t>
      </w:r>
      <w:r>
        <w:rPr>
          <w:rFonts w:eastAsia="Times New Roman"/>
          <w:color w:val="000000"/>
        </w:rPr>
        <w:br/>
        <w:t>Вибуття (5)</w:t>
      </w:r>
      <w:r>
        <w:rPr>
          <w:rFonts w:eastAsia="Times New Roman"/>
          <w:color w:val="000000"/>
        </w:rPr>
        <w:br/>
        <w:t>Iншi змiни (17)</w:t>
      </w:r>
      <w:r>
        <w:rPr>
          <w:rFonts w:eastAsia="Times New Roman"/>
          <w:color w:val="000000"/>
        </w:rPr>
        <w:br/>
        <w:t xml:space="preserve">Станом на 31 грудня 2017 року 6 112 </w:t>
      </w:r>
      <w:r>
        <w:rPr>
          <w:rFonts w:eastAsia="Times New Roman"/>
          <w:color w:val="000000"/>
        </w:rPr>
        <w:br/>
      </w:r>
      <w:r>
        <w:rPr>
          <w:rFonts w:eastAsia="Times New Roman"/>
          <w:color w:val="000000"/>
        </w:rPr>
        <w:br/>
        <w:t xml:space="preserve">Накопичена амортизацiя </w:t>
      </w:r>
      <w:r>
        <w:rPr>
          <w:rFonts w:eastAsia="Times New Roman"/>
          <w:color w:val="000000"/>
        </w:rPr>
        <w:br/>
        <w:t>Станом на 31 грудня 2016 року (384)</w:t>
      </w:r>
      <w:r>
        <w:rPr>
          <w:rFonts w:eastAsia="Times New Roman"/>
          <w:color w:val="000000"/>
        </w:rPr>
        <w:br/>
        <w:t>Вибуття 5</w:t>
      </w:r>
      <w:r>
        <w:rPr>
          <w:rFonts w:eastAsia="Times New Roman"/>
          <w:color w:val="000000"/>
        </w:rPr>
        <w:br/>
        <w:t>Амортизацiйнi нарахування (39)</w:t>
      </w:r>
      <w:r>
        <w:rPr>
          <w:rFonts w:eastAsia="Times New Roman"/>
          <w:color w:val="000000"/>
        </w:rPr>
        <w:br/>
        <w:t>Станом на 31 грудня 2017 року (418)</w:t>
      </w:r>
      <w:r>
        <w:rPr>
          <w:rFonts w:eastAsia="Times New Roman"/>
          <w:color w:val="000000"/>
        </w:rPr>
        <w:br/>
      </w:r>
      <w:r>
        <w:rPr>
          <w:rFonts w:eastAsia="Times New Roman"/>
          <w:color w:val="000000"/>
        </w:rPr>
        <w:br/>
        <w:t xml:space="preserve">Балансова вартiсть </w:t>
      </w:r>
      <w:r>
        <w:rPr>
          <w:rFonts w:eastAsia="Times New Roman"/>
          <w:color w:val="000000"/>
        </w:rPr>
        <w:br/>
        <w:t xml:space="preserve">Станом на 31 грудня 2016 року 5 717 </w:t>
      </w:r>
      <w:r>
        <w:rPr>
          <w:rFonts w:eastAsia="Times New Roman"/>
          <w:color w:val="000000"/>
        </w:rPr>
        <w:br/>
        <w:t>Станом на 31 грудня 2017 року 5 694</w:t>
      </w:r>
      <w:r>
        <w:rPr>
          <w:rFonts w:eastAsia="Times New Roman"/>
          <w:color w:val="000000"/>
        </w:rPr>
        <w:br/>
        <w:t>5. Незавершенi капiтальнi iнвестицiї (рядок фiнансового звiту “1005”)</w:t>
      </w:r>
      <w:r>
        <w:rPr>
          <w:rFonts w:eastAsia="Times New Roman"/>
          <w:color w:val="000000"/>
        </w:rPr>
        <w:br/>
        <w:t>Рух незавершених капiтальних iнвестицiй за 2017 рiк представлений таким чином:</w:t>
      </w:r>
      <w:r>
        <w:rPr>
          <w:rFonts w:eastAsia="Times New Roman"/>
          <w:color w:val="000000"/>
        </w:rPr>
        <w:br/>
        <w:t>Незавершенi капiтальнi iнвестицiї</w:t>
      </w:r>
      <w:r>
        <w:rPr>
          <w:rFonts w:eastAsia="Times New Roman"/>
          <w:color w:val="000000"/>
        </w:rPr>
        <w:br/>
      </w:r>
      <w:r>
        <w:rPr>
          <w:rFonts w:eastAsia="Times New Roman"/>
          <w:color w:val="000000"/>
        </w:rPr>
        <w:br/>
        <w:t>Баланс на 31 грудня 2016 року 18 812</w:t>
      </w:r>
      <w:r>
        <w:rPr>
          <w:rFonts w:eastAsia="Times New Roman"/>
          <w:color w:val="000000"/>
        </w:rPr>
        <w:br/>
        <w:t>Надходження 25 665</w:t>
      </w:r>
      <w:r>
        <w:rPr>
          <w:rFonts w:eastAsia="Times New Roman"/>
          <w:color w:val="000000"/>
        </w:rPr>
        <w:br/>
        <w:t>Аванси на придбання основних засобiв 2 938</w:t>
      </w:r>
      <w:r>
        <w:rPr>
          <w:rFonts w:eastAsia="Times New Roman"/>
          <w:color w:val="000000"/>
        </w:rPr>
        <w:br/>
        <w:t>Введення в експлуатацiю (3 062)</w:t>
      </w:r>
      <w:r>
        <w:rPr>
          <w:rFonts w:eastAsia="Times New Roman"/>
          <w:color w:val="000000"/>
        </w:rPr>
        <w:br/>
        <w:t>Баланс на 31 грудня 2017 року 44 353</w:t>
      </w:r>
      <w:r>
        <w:rPr>
          <w:rFonts w:eastAsia="Times New Roman"/>
          <w:color w:val="000000"/>
        </w:rPr>
        <w:br/>
        <w:t>Зменшення корисностi незавершених капiтальних iнвестицiй у 2017 роцi не iдентифiковано.</w:t>
      </w:r>
      <w:r>
        <w:rPr>
          <w:rFonts w:eastAsia="Times New Roman"/>
          <w:color w:val="000000"/>
        </w:rPr>
        <w:br/>
      </w:r>
      <w:r>
        <w:rPr>
          <w:rFonts w:eastAsia="Times New Roman"/>
          <w:color w:val="000000"/>
        </w:rPr>
        <w:lastRenderedPageBreak/>
        <w:t>6. Основнi засоби (рядки фiнансового звiту “1010”, “1011”, “1012”)</w:t>
      </w:r>
      <w:r>
        <w:rPr>
          <w:rFonts w:eastAsia="Times New Roman"/>
          <w:color w:val="000000"/>
        </w:rPr>
        <w:br/>
        <w:t>Рух основних засобiв за 2017 рiк представлений таким чином:</w:t>
      </w:r>
      <w:r>
        <w:rPr>
          <w:rFonts w:eastAsia="Times New Roman"/>
          <w:color w:val="000000"/>
        </w:rPr>
        <w:br/>
        <w:t>Будинки, споруди, передавальнi пристрої Силовi та робочi машини i обладнання Транспортнi засоби Iншi основнi засоби Всього</w:t>
      </w:r>
      <w:r>
        <w:rPr>
          <w:rFonts w:eastAsia="Times New Roman"/>
          <w:color w:val="000000"/>
        </w:rPr>
        <w:br/>
        <w:t xml:space="preserve">Первiсна вартiсть </w:t>
      </w:r>
      <w:r>
        <w:rPr>
          <w:rFonts w:eastAsia="Times New Roman"/>
          <w:color w:val="000000"/>
        </w:rPr>
        <w:br/>
        <w:t>Станом на 31 грудня 2016 року 125 787 40 652 3 894 10 645 180 978</w:t>
      </w:r>
      <w:r>
        <w:rPr>
          <w:rFonts w:eastAsia="Times New Roman"/>
          <w:color w:val="000000"/>
        </w:rPr>
        <w:br/>
        <w:t>Надходження - 372 1 794 896 3 062</w:t>
      </w:r>
      <w:r>
        <w:rPr>
          <w:rFonts w:eastAsia="Times New Roman"/>
          <w:color w:val="000000"/>
        </w:rPr>
        <w:br/>
        <w:t>Вибуття (100) (9) (-) (356) (465)</w:t>
      </w:r>
      <w:r>
        <w:rPr>
          <w:rFonts w:eastAsia="Times New Roman"/>
          <w:color w:val="000000"/>
        </w:rPr>
        <w:br/>
        <w:t>Станом на 31 грудня 2017 року 125 687 41 015 5 688 11 185 183 575</w:t>
      </w:r>
      <w:r>
        <w:rPr>
          <w:rFonts w:eastAsia="Times New Roman"/>
          <w:color w:val="000000"/>
        </w:rPr>
        <w:br/>
        <w:t xml:space="preserve">Накопичена амортизацiя </w:t>
      </w:r>
      <w:r>
        <w:rPr>
          <w:rFonts w:eastAsia="Times New Roman"/>
          <w:color w:val="000000"/>
        </w:rPr>
        <w:br/>
        <w:t>Станом на 31 грудня 2016 року (78 476) (26 252) (1 741) (6 662) (113 131)</w:t>
      </w:r>
      <w:r>
        <w:rPr>
          <w:rFonts w:eastAsia="Times New Roman"/>
          <w:color w:val="000000"/>
        </w:rPr>
        <w:br/>
        <w:t>Амортизацiйнi нарахування (7 166) (2 338) (420) (309) (10 233)</w:t>
      </w:r>
      <w:r>
        <w:rPr>
          <w:rFonts w:eastAsia="Times New Roman"/>
          <w:color w:val="000000"/>
        </w:rPr>
        <w:br/>
        <w:t>Вибуття - - - - -</w:t>
      </w:r>
      <w:r>
        <w:rPr>
          <w:rFonts w:eastAsia="Times New Roman"/>
          <w:color w:val="000000"/>
        </w:rPr>
        <w:br/>
        <w:t>Станом на 31 грудня 2017 року (85 722) (29 386) (2 154) (6 102) (123 364)</w:t>
      </w:r>
      <w:r>
        <w:rPr>
          <w:rFonts w:eastAsia="Times New Roman"/>
          <w:color w:val="000000"/>
        </w:rPr>
        <w:br/>
        <w:t xml:space="preserve">Балансова вартiсть </w:t>
      </w:r>
      <w:r>
        <w:rPr>
          <w:rFonts w:eastAsia="Times New Roman"/>
          <w:color w:val="000000"/>
        </w:rPr>
        <w:br/>
        <w:t>Станом на 31 грудня 2016 року 47 311 14 400 2 153 3 983 67 847</w:t>
      </w:r>
      <w:r>
        <w:rPr>
          <w:rFonts w:eastAsia="Times New Roman"/>
          <w:color w:val="000000"/>
        </w:rPr>
        <w:br/>
        <w:t>Станом на 31 грудня 2017 року 40 052 12 361 3 587 4 211 60 211</w:t>
      </w:r>
      <w:r>
        <w:rPr>
          <w:rFonts w:eastAsia="Times New Roman"/>
          <w:color w:val="000000"/>
        </w:rPr>
        <w:br/>
        <w:t>7. Запаси (рядок фiнансового звiту “1101”)</w:t>
      </w:r>
      <w:r>
        <w:rPr>
          <w:rFonts w:eastAsia="Times New Roman"/>
          <w:color w:val="000000"/>
        </w:rPr>
        <w:br/>
        <w:t>Станом на 31 грудня 2017 року та 31 грудня 2016 року запаси були представленi таким чином:</w:t>
      </w:r>
      <w:r>
        <w:rPr>
          <w:rFonts w:eastAsia="Times New Roman"/>
          <w:color w:val="000000"/>
        </w:rPr>
        <w:br/>
        <w:t>31 грудня 2017 року 31 грудня 2016 року</w:t>
      </w:r>
      <w:r>
        <w:rPr>
          <w:rFonts w:eastAsia="Times New Roman"/>
          <w:color w:val="000000"/>
        </w:rPr>
        <w:br/>
      </w:r>
      <w:r>
        <w:rPr>
          <w:rFonts w:eastAsia="Times New Roman"/>
          <w:color w:val="000000"/>
        </w:rPr>
        <w:br/>
        <w:t>Будiвельнi матерiали 912 919</w:t>
      </w:r>
      <w:r>
        <w:rPr>
          <w:rFonts w:eastAsia="Times New Roman"/>
          <w:color w:val="000000"/>
        </w:rPr>
        <w:br/>
        <w:t>Сировина i матерiали 714 574</w:t>
      </w:r>
      <w:r>
        <w:rPr>
          <w:rFonts w:eastAsia="Times New Roman"/>
          <w:color w:val="000000"/>
        </w:rPr>
        <w:br/>
        <w:t>Запаснi частини 221 217</w:t>
      </w:r>
      <w:r>
        <w:rPr>
          <w:rFonts w:eastAsia="Times New Roman"/>
          <w:color w:val="000000"/>
        </w:rPr>
        <w:br/>
        <w:t>Паливо 255 291</w:t>
      </w:r>
      <w:r>
        <w:rPr>
          <w:rFonts w:eastAsia="Times New Roman"/>
          <w:color w:val="000000"/>
        </w:rPr>
        <w:br/>
        <w:t>Малоцiннi та швидкозношуванi предмети 387 286</w:t>
      </w:r>
      <w:r>
        <w:rPr>
          <w:rFonts w:eastAsia="Times New Roman"/>
          <w:color w:val="000000"/>
        </w:rPr>
        <w:br/>
        <w:t>Всього 2 489 2 287</w:t>
      </w:r>
      <w:r>
        <w:rPr>
          <w:rFonts w:eastAsia="Times New Roman"/>
          <w:color w:val="000000"/>
        </w:rPr>
        <w:br/>
        <w:t>8. Дебiторська заборгованiсть за продукцiю, товари, роботи, послуги (рядок звiту про фiнансовий стан “1125”)</w:t>
      </w:r>
      <w:r>
        <w:rPr>
          <w:rFonts w:eastAsia="Times New Roman"/>
          <w:color w:val="000000"/>
        </w:rPr>
        <w:br/>
        <w:t>Станом на 31 грудня 2017 року та 31 грудня 2016 року дебiторська заборгованiсть за товари, роботи, послуги була представлена таким чином:</w:t>
      </w:r>
      <w:r>
        <w:rPr>
          <w:rFonts w:eastAsia="Times New Roman"/>
          <w:color w:val="000000"/>
        </w:rPr>
        <w:br/>
        <w:t>31 грудня 2017 року 31 грудня 2016 року</w:t>
      </w:r>
      <w:r>
        <w:rPr>
          <w:rFonts w:eastAsia="Times New Roman"/>
          <w:color w:val="000000"/>
        </w:rPr>
        <w:br/>
      </w:r>
      <w:r>
        <w:rPr>
          <w:rFonts w:eastAsia="Times New Roman"/>
          <w:color w:val="000000"/>
        </w:rPr>
        <w:br/>
        <w:t>Дебiторська заборгованiсть за товари, роботи, послуги 60 331 57 250</w:t>
      </w:r>
      <w:r>
        <w:rPr>
          <w:rFonts w:eastAsia="Times New Roman"/>
          <w:color w:val="000000"/>
        </w:rPr>
        <w:br/>
        <w:t>Резерв сумнiвних боргiв (29 586) (18 503)</w:t>
      </w:r>
      <w:r>
        <w:rPr>
          <w:rFonts w:eastAsia="Times New Roman"/>
          <w:color w:val="000000"/>
        </w:rPr>
        <w:br/>
      </w:r>
      <w:r>
        <w:rPr>
          <w:rFonts w:eastAsia="Times New Roman"/>
          <w:color w:val="000000"/>
        </w:rPr>
        <w:br/>
        <w:t>Всього 30 745 38 747</w:t>
      </w:r>
      <w:r>
        <w:rPr>
          <w:rFonts w:eastAsia="Times New Roman"/>
          <w:color w:val="000000"/>
        </w:rPr>
        <w:br/>
        <w:t>Для клiєнтiв не передбачений кредитний перiод. На дебiторську заборгованiсть за товари, роботи, послуги, прострочену бiльше, нiж 12 мiсяцiв вiд дня погашення за договором, формується iндивiдуальний резерв, який регулярно переоцiнюється на основi фактiв та обставин, якi iснують станом на кожну звiтну дату.</w:t>
      </w:r>
      <w:r>
        <w:rPr>
          <w:rFonts w:eastAsia="Times New Roman"/>
          <w:color w:val="000000"/>
        </w:rPr>
        <w:br/>
        <w:t>Iнформацiя про рух резерву на покриття збиткiв вiд знецiнення торгової дебiторської заборгованостi представлена таким чином:</w:t>
      </w:r>
      <w:r>
        <w:rPr>
          <w:rFonts w:eastAsia="Times New Roman"/>
          <w:color w:val="000000"/>
        </w:rPr>
        <w:br/>
        <w:t>31 грудня 2017 року 31 грудня 2016 року</w:t>
      </w:r>
      <w:r>
        <w:rPr>
          <w:rFonts w:eastAsia="Times New Roman"/>
          <w:color w:val="000000"/>
        </w:rPr>
        <w:br/>
      </w:r>
      <w:r>
        <w:rPr>
          <w:rFonts w:eastAsia="Times New Roman"/>
          <w:color w:val="000000"/>
        </w:rPr>
        <w:br/>
        <w:t>Залишок на початок року (18 503) (17 939)</w:t>
      </w:r>
      <w:r>
        <w:rPr>
          <w:rFonts w:eastAsia="Times New Roman"/>
          <w:color w:val="000000"/>
        </w:rPr>
        <w:br/>
      </w:r>
      <w:r>
        <w:rPr>
          <w:rFonts w:eastAsia="Times New Roman"/>
          <w:color w:val="000000"/>
        </w:rPr>
        <w:br/>
        <w:t>Визнано витрати (11 547) (1 473)</w:t>
      </w:r>
      <w:r>
        <w:rPr>
          <w:rFonts w:eastAsia="Times New Roman"/>
          <w:color w:val="000000"/>
        </w:rPr>
        <w:br/>
        <w:t>Вивiльнення резерву 454 829</w:t>
      </w:r>
      <w:r>
        <w:rPr>
          <w:rFonts w:eastAsia="Times New Roman"/>
          <w:color w:val="000000"/>
        </w:rPr>
        <w:br/>
        <w:t>Резерв використаний за перiод 10 80</w:t>
      </w:r>
      <w:r>
        <w:rPr>
          <w:rFonts w:eastAsia="Times New Roman"/>
          <w:color w:val="000000"/>
        </w:rPr>
        <w:br/>
      </w:r>
      <w:r>
        <w:rPr>
          <w:rFonts w:eastAsia="Times New Roman"/>
          <w:color w:val="000000"/>
        </w:rPr>
        <w:br/>
        <w:t>Залишок на кiнець року (29 586) (18 503)</w:t>
      </w:r>
      <w:r>
        <w:rPr>
          <w:rFonts w:eastAsia="Times New Roman"/>
          <w:color w:val="000000"/>
        </w:rPr>
        <w:br/>
        <w:t xml:space="preserve">Аналiз знецiненої торгової дебiторської заборгованостi за строками виникнення представлений </w:t>
      </w:r>
      <w:r>
        <w:rPr>
          <w:rFonts w:eastAsia="Times New Roman"/>
          <w:color w:val="000000"/>
        </w:rPr>
        <w:lastRenderedPageBreak/>
        <w:t>таким чином:</w:t>
      </w:r>
      <w:r>
        <w:rPr>
          <w:rFonts w:eastAsia="Times New Roman"/>
          <w:color w:val="000000"/>
        </w:rPr>
        <w:br/>
        <w:t>31 грудня 2017 року 31 грудня 2016 року</w:t>
      </w:r>
      <w:r>
        <w:rPr>
          <w:rFonts w:eastAsia="Times New Roman"/>
          <w:color w:val="000000"/>
        </w:rPr>
        <w:br/>
      </w:r>
      <w:r>
        <w:rPr>
          <w:rFonts w:eastAsia="Times New Roman"/>
          <w:color w:val="000000"/>
        </w:rPr>
        <w:br/>
        <w:t>Вiд дванадцяти до вiсiмнадцяти мiсяцiв - (390)</w:t>
      </w:r>
      <w:r>
        <w:rPr>
          <w:rFonts w:eastAsia="Times New Roman"/>
          <w:color w:val="000000"/>
        </w:rPr>
        <w:br/>
        <w:t>Вiд вiсiмнадцяти до тридцяти шести мiсяцiв - -</w:t>
      </w:r>
      <w:r>
        <w:rPr>
          <w:rFonts w:eastAsia="Times New Roman"/>
          <w:color w:val="000000"/>
        </w:rPr>
        <w:br/>
        <w:t>Понад тридцять шiсть мiсяцiв (29 586) (18 113)</w:t>
      </w:r>
      <w:r>
        <w:rPr>
          <w:rFonts w:eastAsia="Times New Roman"/>
          <w:color w:val="000000"/>
        </w:rPr>
        <w:br/>
      </w:r>
      <w:r>
        <w:rPr>
          <w:rFonts w:eastAsia="Times New Roman"/>
          <w:color w:val="000000"/>
        </w:rPr>
        <w:br/>
        <w:t>Всього (29 586) (18 503)</w:t>
      </w:r>
      <w:r>
        <w:rPr>
          <w:rFonts w:eastAsia="Times New Roman"/>
          <w:color w:val="000000"/>
        </w:rPr>
        <w:br/>
      </w:r>
      <w:r>
        <w:rPr>
          <w:rFonts w:eastAsia="Times New Roman"/>
          <w:color w:val="000000"/>
        </w:rPr>
        <w:br/>
        <w:t>9. Заборгованiсть за розрахунками за виданими авансами та з бюджетом (рядки фiнансового звiту “1130” та “1135”)</w:t>
      </w:r>
      <w:r>
        <w:rPr>
          <w:rFonts w:eastAsia="Times New Roman"/>
          <w:color w:val="000000"/>
        </w:rPr>
        <w:br/>
        <w:t>Станом на 31 грудня 2017 року та 31 грудня 2016 року заборгованiсть за розрахунками за виданими авансами та з бюджетом була представлена таким чином:</w:t>
      </w:r>
      <w:r>
        <w:rPr>
          <w:rFonts w:eastAsia="Times New Roman"/>
          <w:color w:val="000000"/>
        </w:rPr>
        <w:br/>
        <w:t>31 грудня 2017 року 31 грудня 2016 року</w:t>
      </w:r>
      <w:r>
        <w:rPr>
          <w:rFonts w:eastAsia="Times New Roman"/>
          <w:color w:val="000000"/>
        </w:rPr>
        <w:br/>
      </w:r>
      <w:r>
        <w:rPr>
          <w:rFonts w:eastAsia="Times New Roman"/>
          <w:color w:val="000000"/>
        </w:rPr>
        <w:br/>
        <w:t>Дебiторська заборгованiсть за виданими авансами 903 888</w:t>
      </w:r>
      <w:r>
        <w:rPr>
          <w:rFonts w:eastAsia="Times New Roman"/>
          <w:color w:val="000000"/>
        </w:rPr>
        <w:br/>
      </w:r>
      <w:r>
        <w:rPr>
          <w:rFonts w:eastAsia="Times New Roman"/>
          <w:color w:val="000000"/>
        </w:rPr>
        <w:br/>
        <w:t>Всього за рядком 1130 903 888</w:t>
      </w:r>
      <w:r>
        <w:rPr>
          <w:rFonts w:eastAsia="Times New Roman"/>
          <w:color w:val="000000"/>
        </w:rPr>
        <w:br/>
      </w:r>
      <w:r>
        <w:rPr>
          <w:rFonts w:eastAsia="Times New Roman"/>
          <w:color w:val="000000"/>
        </w:rPr>
        <w:br/>
        <w:t>Аванс з податку на додану вартiсть 745 -</w:t>
      </w:r>
      <w:r>
        <w:rPr>
          <w:rFonts w:eastAsia="Times New Roman"/>
          <w:color w:val="000000"/>
        </w:rPr>
        <w:br/>
      </w:r>
      <w:r>
        <w:rPr>
          <w:rFonts w:eastAsia="Times New Roman"/>
          <w:color w:val="000000"/>
        </w:rPr>
        <w:br/>
        <w:t>Всього за рядком 1135 745 -</w:t>
      </w:r>
      <w:r>
        <w:rPr>
          <w:rFonts w:eastAsia="Times New Roman"/>
          <w:color w:val="000000"/>
        </w:rPr>
        <w:br/>
        <w:t xml:space="preserve">Дебiторська заборгованiсть за виданими авансами включає в себе аванси за товари, роботи, послуги, аванси за послуги страхування майна та аванси за перiодичнi видання. </w:t>
      </w:r>
      <w:proofErr w:type="gramStart"/>
      <w:r>
        <w:rPr>
          <w:rFonts w:eastAsia="Times New Roman"/>
          <w:color w:val="000000"/>
        </w:rPr>
        <w:t>До складу</w:t>
      </w:r>
      <w:proofErr w:type="gramEnd"/>
      <w:r>
        <w:rPr>
          <w:rFonts w:eastAsia="Times New Roman"/>
          <w:color w:val="000000"/>
        </w:rPr>
        <w:t xml:space="preserve"> iнших податкiв та зборiв входять аванси з податку на нерухоме майно, вiдмiнне вiд земельної дiлянки, рентної плати за спецiальне використання води та рентної плати за користування надрами. </w:t>
      </w:r>
      <w:r>
        <w:rPr>
          <w:rFonts w:eastAsia="Times New Roman"/>
          <w:color w:val="000000"/>
        </w:rPr>
        <w:br/>
        <w:t>10. Грошовi кошти та їх еквiваленти (рядок фiнансового звiту “1165”)</w:t>
      </w:r>
      <w:r>
        <w:rPr>
          <w:rFonts w:eastAsia="Times New Roman"/>
          <w:color w:val="000000"/>
        </w:rPr>
        <w:br/>
        <w:t>Станом на 31 грудня 2017 року та 31 грудня 2016 року грошовi кошти та їх еквiваленти були представленi таким чином:</w:t>
      </w:r>
      <w:r>
        <w:rPr>
          <w:rFonts w:eastAsia="Times New Roman"/>
          <w:color w:val="000000"/>
        </w:rPr>
        <w:br/>
        <w:t>31 грудня 2017 року 31 грудня 2016 року</w:t>
      </w:r>
      <w:r>
        <w:rPr>
          <w:rFonts w:eastAsia="Times New Roman"/>
          <w:color w:val="000000"/>
        </w:rPr>
        <w:br/>
      </w:r>
      <w:r>
        <w:rPr>
          <w:rFonts w:eastAsia="Times New Roman"/>
          <w:color w:val="000000"/>
        </w:rPr>
        <w:br/>
        <w:t>Грошовi кошти в банках 6 748 12 215</w:t>
      </w:r>
      <w:r>
        <w:rPr>
          <w:rFonts w:eastAsia="Times New Roman"/>
          <w:color w:val="000000"/>
        </w:rPr>
        <w:br/>
      </w:r>
      <w:r>
        <w:rPr>
          <w:rFonts w:eastAsia="Times New Roman"/>
          <w:color w:val="000000"/>
        </w:rPr>
        <w:br/>
        <w:t>Всього 6 748 12 215</w:t>
      </w:r>
      <w:r>
        <w:rPr>
          <w:rFonts w:eastAsia="Times New Roman"/>
          <w:color w:val="000000"/>
        </w:rPr>
        <w:br/>
      </w:r>
      <w:r>
        <w:rPr>
          <w:rFonts w:eastAsia="Times New Roman"/>
          <w:color w:val="000000"/>
        </w:rPr>
        <w:br/>
      </w:r>
      <w:r>
        <w:rPr>
          <w:rFonts w:eastAsia="Times New Roman"/>
          <w:color w:val="000000"/>
        </w:rPr>
        <w:br/>
        <w:t>11. Iншi оборотнi активи (рядок фiнансового звiту “1190”)</w:t>
      </w:r>
      <w:r>
        <w:rPr>
          <w:rFonts w:eastAsia="Times New Roman"/>
          <w:color w:val="000000"/>
        </w:rPr>
        <w:br/>
        <w:t>Станом на 31 грудня 2017 року та 31 грудня 2016 iншi оборотнi активи були представленi таким чином:</w:t>
      </w:r>
      <w:r>
        <w:rPr>
          <w:rFonts w:eastAsia="Times New Roman"/>
          <w:color w:val="000000"/>
        </w:rPr>
        <w:br/>
        <w:t>31 грудня 2017 року 31 грудня 2016 року</w:t>
      </w:r>
      <w:r>
        <w:rPr>
          <w:rFonts w:eastAsia="Times New Roman"/>
          <w:color w:val="000000"/>
        </w:rPr>
        <w:br/>
      </w:r>
      <w:r>
        <w:rPr>
          <w:rFonts w:eastAsia="Times New Roman"/>
          <w:color w:val="000000"/>
        </w:rPr>
        <w:br/>
        <w:t>Непiдтверджений податковий кредит 1 109 42</w:t>
      </w:r>
      <w:r>
        <w:rPr>
          <w:rFonts w:eastAsia="Times New Roman"/>
          <w:color w:val="000000"/>
        </w:rPr>
        <w:br/>
      </w:r>
      <w:r>
        <w:rPr>
          <w:rFonts w:eastAsia="Times New Roman"/>
          <w:color w:val="000000"/>
        </w:rPr>
        <w:br/>
        <w:t>Всього 1 109 42</w:t>
      </w:r>
      <w:r>
        <w:rPr>
          <w:rFonts w:eastAsia="Times New Roman"/>
          <w:color w:val="000000"/>
        </w:rPr>
        <w:br/>
        <w:t>12. Зареєстрований капiтал (рядки фiнансового звiту “1400”, “1410”, “1415”)</w:t>
      </w:r>
      <w:r>
        <w:rPr>
          <w:rFonts w:eastAsia="Times New Roman"/>
          <w:color w:val="000000"/>
        </w:rPr>
        <w:br/>
        <w:t xml:space="preserve">Станом на 31 грудня 2017 року та 31 грудня 2016 року статутний капiтал Товариства складав </w:t>
      </w:r>
      <w:r>
        <w:rPr>
          <w:rFonts w:eastAsia="Times New Roman"/>
          <w:color w:val="000000"/>
        </w:rPr>
        <w:br/>
        <w:t>47 532 941 акцiя номiнальною вартiстю 10 гривень кожна, що становить 475 329 410 тисяч гривень. Акцiонери Товариства станом на 31 грудня 2017 року та 31 грудня 2016 року були представленi наступним чином:</w:t>
      </w:r>
      <w:r>
        <w:rPr>
          <w:rFonts w:eastAsia="Times New Roman"/>
          <w:color w:val="000000"/>
        </w:rPr>
        <w:br/>
        <w:t>Акцiонери 31 грудня 2017 року 31 грудня 2016 року</w:t>
      </w:r>
      <w:r>
        <w:rPr>
          <w:rFonts w:eastAsia="Times New Roman"/>
          <w:color w:val="000000"/>
        </w:rPr>
        <w:br/>
      </w:r>
      <w:r>
        <w:rPr>
          <w:rFonts w:eastAsia="Times New Roman"/>
          <w:color w:val="000000"/>
        </w:rPr>
        <w:br/>
        <w:t>Держава в особi Мiнiстерства енергетики та вугiльної промисловостi України 87,40% 87,40%</w:t>
      </w:r>
      <w:r>
        <w:rPr>
          <w:rFonts w:eastAsia="Times New Roman"/>
          <w:color w:val="000000"/>
        </w:rPr>
        <w:br/>
        <w:t>ПАТ «Укргiдроенерго» 11,48% 11,48%</w:t>
      </w:r>
      <w:r>
        <w:rPr>
          <w:rFonts w:eastAsia="Times New Roman"/>
          <w:color w:val="000000"/>
        </w:rPr>
        <w:br/>
      </w:r>
      <w:r>
        <w:rPr>
          <w:rFonts w:eastAsia="Times New Roman"/>
          <w:color w:val="000000"/>
        </w:rPr>
        <w:lastRenderedPageBreak/>
        <w:t>ПАТ «ДТЕК ЗАХIДЕНЕРГО» 1,07% 1,07%</w:t>
      </w:r>
      <w:r>
        <w:rPr>
          <w:rFonts w:eastAsia="Times New Roman"/>
          <w:color w:val="000000"/>
        </w:rPr>
        <w:br/>
        <w:t>Iншi акцiонери 0,05% 0,05%</w:t>
      </w:r>
      <w:r>
        <w:rPr>
          <w:rFonts w:eastAsia="Times New Roman"/>
          <w:color w:val="000000"/>
        </w:rPr>
        <w:br/>
      </w:r>
      <w:r>
        <w:rPr>
          <w:rFonts w:eastAsia="Times New Roman"/>
          <w:color w:val="000000"/>
        </w:rPr>
        <w:br/>
        <w:t>Всього 100% 100%</w:t>
      </w:r>
      <w:r>
        <w:rPr>
          <w:rFonts w:eastAsia="Times New Roman"/>
          <w:color w:val="000000"/>
        </w:rPr>
        <w:br/>
        <w:t>Статутний капiтал Товариства повнiстю сплачений акцiонерами.</w:t>
      </w:r>
      <w:r>
        <w:rPr>
          <w:rFonts w:eastAsia="Times New Roman"/>
          <w:color w:val="000000"/>
        </w:rPr>
        <w:br/>
        <w:t>Додатковий капiтал Товариства складається з оцiненої вартостi нематерiального активу Право користування землею.</w:t>
      </w:r>
      <w:r>
        <w:rPr>
          <w:rFonts w:eastAsia="Times New Roman"/>
          <w:color w:val="000000"/>
        </w:rPr>
        <w:br/>
        <w:t>Резервний капiтал Товариства створений згiдно з вимогами Статуту на покриття збиткiв, збiльшення статутного капiталу, погашення заборгованостi в разi лiквiдацiї Товариства, тощо та складає 6 167 тисяч гривень.</w:t>
      </w:r>
      <w:r>
        <w:rPr>
          <w:rFonts w:eastAsia="Times New Roman"/>
          <w:color w:val="000000"/>
        </w:rPr>
        <w:br/>
      </w:r>
      <w:r>
        <w:rPr>
          <w:rFonts w:eastAsia="Times New Roman"/>
          <w:color w:val="000000"/>
        </w:rPr>
        <w:br/>
        <w:t>13. Податок на прибуток (рядки фiнансового звiту “1045”, “1500” та “2300”)</w:t>
      </w:r>
      <w:r>
        <w:rPr>
          <w:rFonts w:eastAsia="Times New Roman"/>
          <w:color w:val="000000"/>
        </w:rPr>
        <w:br/>
        <w:t xml:space="preserve">У 2017 роцi податок на прибуток пiдприємств в Українi становив 18%. </w:t>
      </w:r>
      <w:r>
        <w:rPr>
          <w:rFonts w:eastAsia="Times New Roman"/>
          <w:color w:val="000000"/>
        </w:rPr>
        <w:br/>
        <w:t>Вiдстроченi податковi активи (зобов’язання) станом на 31 грудня 2017 року та на 31 грудня 2016 року, якi вiдображено у фiнансовому звiтi, представленi таким чином:</w:t>
      </w:r>
      <w:r>
        <w:rPr>
          <w:rFonts w:eastAsia="Times New Roman"/>
          <w:color w:val="000000"/>
        </w:rPr>
        <w:br/>
        <w:t xml:space="preserve">31 грудня </w:t>
      </w:r>
      <w:r>
        <w:rPr>
          <w:rFonts w:eastAsia="Times New Roman"/>
          <w:color w:val="000000"/>
        </w:rPr>
        <w:br/>
        <w:t xml:space="preserve">2017 року 31 грудня </w:t>
      </w:r>
      <w:r>
        <w:rPr>
          <w:rFonts w:eastAsia="Times New Roman"/>
          <w:color w:val="000000"/>
        </w:rPr>
        <w:br/>
        <w:t>2016 року</w:t>
      </w:r>
      <w:r>
        <w:rPr>
          <w:rFonts w:eastAsia="Times New Roman"/>
          <w:color w:val="000000"/>
        </w:rPr>
        <w:br/>
        <w:t xml:space="preserve">Складовi частини вiдстроченого податкового активу (вiдстроченого податкового зобов’язання): </w:t>
      </w:r>
      <w:r>
        <w:rPr>
          <w:rFonts w:eastAsia="Times New Roman"/>
          <w:color w:val="000000"/>
        </w:rPr>
        <w:br/>
        <w:t>Рiзниця мiж балансовою вартiстю основних засобiв в фiнансовому та податковому облiку (65) (88)</w:t>
      </w:r>
      <w:r>
        <w:rPr>
          <w:rFonts w:eastAsia="Times New Roman"/>
          <w:color w:val="000000"/>
        </w:rPr>
        <w:br/>
        <w:t>Резерв сумнiвних боргiв 2 350 3 330</w:t>
      </w:r>
      <w:r>
        <w:rPr>
          <w:rFonts w:eastAsia="Times New Roman"/>
          <w:color w:val="000000"/>
        </w:rPr>
        <w:br/>
        <w:t>Забезпечення витрат на рiчний аудит 162 4</w:t>
      </w:r>
      <w:r>
        <w:rPr>
          <w:rFonts w:eastAsia="Times New Roman"/>
          <w:color w:val="000000"/>
        </w:rPr>
        <w:br/>
        <w:t>Визнання нематерiального активу «право користування землею» (1 006) (1 009)</w:t>
      </w:r>
      <w:r>
        <w:rPr>
          <w:rFonts w:eastAsia="Times New Roman"/>
          <w:color w:val="000000"/>
        </w:rPr>
        <w:br/>
        <w:t>Чистий вiдстрочений податковий актив (чисте податкове зобов’язання) 1 441 2 237</w:t>
      </w:r>
      <w:r>
        <w:rPr>
          <w:rFonts w:eastAsia="Times New Roman"/>
          <w:color w:val="000000"/>
        </w:rPr>
        <w:br/>
        <w:t>Витрати (доходи) з податку на прибуток складалися з:</w:t>
      </w:r>
      <w:r>
        <w:rPr>
          <w:rFonts w:eastAsia="Times New Roman"/>
          <w:color w:val="000000"/>
        </w:rPr>
        <w:br/>
      </w:r>
      <w:r>
        <w:rPr>
          <w:rFonts w:eastAsia="Times New Roman"/>
          <w:color w:val="000000"/>
        </w:rPr>
        <w:br/>
        <w:t xml:space="preserve">Вiдстроченi податковi активи: </w:t>
      </w:r>
      <w:r>
        <w:rPr>
          <w:rFonts w:eastAsia="Times New Roman"/>
          <w:color w:val="000000"/>
        </w:rPr>
        <w:br/>
        <w:t>на 31.12.2016 3 246</w:t>
      </w:r>
      <w:r>
        <w:rPr>
          <w:rFonts w:eastAsia="Times New Roman"/>
          <w:color w:val="000000"/>
        </w:rPr>
        <w:br/>
        <w:t>на 31.12.2017 2 447</w:t>
      </w:r>
      <w:r>
        <w:rPr>
          <w:rFonts w:eastAsia="Times New Roman"/>
          <w:color w:val="000000"/>
        </w:rPr>
        <w:br/>
        <w:t xml:space="preserve">Вiдстроченi податковi зобов’язання </w:t>
      </w:r>
      <w:r>
        <w:rPr>
          <w:rFonts w:eastAsia="Times New Roman"/>
          <w:color w:val="000000"/>
        </w:rPr>
        <w:br/>
        <w:t>на 31.12.2016 1 009</w:t>
      </w:r>
      <w:r>
        <w:rPr>
          <w:rFonts w:eastAsia="Times New Roman"/>
          <w:color w:val="000000"/>
        </w:rPr>
        <w:br/>
        <w:t>на 31.12.2017 1 006</w:t>
      </w:r>
      <w:r>
        <w:rPr>
          <w:rFonts w:eastAsia="Times New Roman"/>
          <w:color w:val="000000"/>
        </w:rPr>
        <w:br/>
        <w:t>Податок на прибуток за 2017 рiк 1 703</w:t>
      </w:r>
      <w:r>
        <w:rPr>
          <w:rFonts w:eastAsia="Times New Roman"/>
          <w:color w:val="000000"/>
        </w:rPr>
        <w:br/>
        <w:t>(Доходи)/витрати по вiдстроченому податку, що є результатом виникнення та сторнування тимчасових рiзниць, включенi до Звiту про фiнансовi результати 796</w:t>
      </w:r>
      <w:r>
        <w:rPr>
          <w:rFonts w:eastAsia="Times New Roman"/>
          <w:color w:val="000000"/>
        </w:rPr>
        <w:br/>
        <w:t>Всього (доход)/ витрати з податку на прибуток за рiк 2 499</w:t>
      </w:r>
      <w:r>
        <w:rPr>
          <w:rFonts w:eastAsia="Times New Roman"/>
          <w:color w:val="000000"/>
        </w:rPr>
        <w:br/>
      </w:r>
      <w:r>
        <w:rPr>
          <w:rFonts w:eastAsia="Times New Roman"/>
          <w:color w:val="000000"/>
        </w:rPr>
        <w:br/>
      </w:r>
      <w:r>
        <w:rPr>
          <w:rFonts w:eastAsia="Times New Roman"/>
          <w:color w:val="000000"/>
        </w:rPr>
        <w:br/>
        <w:t>14. Поточна кредиторська заборгованiсть за товари, роботи, послуги (рядок фiнансового звiту “1615”)</w:t>
      </w:r>
      <w:r>
        <w:rPr>
          <w:rFonts w:eastAsia="Times New Roman"/>
          <w:color w:val="000000"/>
        </w:rPr>
        <w:br/>
        <w:t>Станом на 31 грудня 2017 року та 31 грудня 2016 року поточна кредиторська заборгованiсть за товари, роботи, послуги була представлена наступним чином:</w:t>
      </w:r>
      <w:r>
        <w:rPr>
          <w:rFonts w:eastAsia="Times New Roman"/>
          <w:color w:val="000000"/>
        </w:rPr>
        <w:br/>
        <w:t>31 грудня 2017 року 31 грудня 2016 року</w:t>
      </w:r>
      <w:r>
        <w:rPr>
          <w:rFonts w:eastAsia="Times New Roman"/>
          <w:color w:val="000000"/>
        </w:rPr>
        <w:br/>
      </w:r>
      <w:r>
        <w:rPr>
          <w:rFonts w:eastAsia="Times New Roman"/>
          <w:color w:val="000000"/>
        </w:rPr>
        <w:br/>
        <w:t>Кредиторська заборгованiсть за куповану електроенергiю 227 202</w:t>
      </w:r>
      <w:r>
        <w:rPr>
          <w:rFonts w:eastAsia="Times New Roman"/>
          <w:color w:val="000000"/>
        </w:rPr>
        <w:br/>
        <w:t>Кредиторська заборгованiсть за основнi засоби 83 9</w:t>
      </w:r>
      <w:r>
        <w:rPr>
          <w:rFonts w:eastAsia="Times New Roman"/>
          <w:color w:val="000000"/>
        </w:rPr>
        <w:br/>
        <w:t>Кредиторська заборгованiсть за послуги 20 6</w:t>
      </w:r>
      <w:r>
        <w:rPr>
          <w:rFonts w:eastAsia="Times New Roman"/>
          <w:color w:val="000000"/>
        </w:rPr>
        <w:br/>
        <w:t>Кредиторська заборгованiсть за запаси 14 -</w:t>
      </w:r>
      <w:r>
        <w:rPr>
          <w:rFonts w:eastAsia="Times New Roman"/>
          <w:color w:val="000000"/>
        </w:rPr>
        <w:br/>
        <w:t>Iнша кредиторська заборгованiсть 3 3</w:t>
      </w:r>
      <w:r>
        <w:rPr>
          <w:rFonts w:eastAsia="Times New Roman"/>
          <w:color w:val="000000"/>
        </w:rPr>
        <w:br/>
      </w:r>
      <w:r>
        <w:rPr>
          <w:rFonts w:eastAsia="Times New Roman"/>
          <w:color w:val="000000"/>
        </w:rPr>
        <w:br/>
        <w:t>Всього 347 220</w:t>
      </w:r>
      <w:r>
        <w:rPr>
          <w:rFonts w:eastAsia="Times New Roman"/>
          <w:color w:val="000000"/>
        </w:rPr>
        <w:br/>
        <w:t>15. Поточна кредиторська заборгованiсть за розрахунками з бюджетом (рядок фiнансового звiту “1620”, “1621”)</w:t>
      </w:r>
      <w:r>
        <w:rPr>
          <w:rFonts w:eastAsia="Times New Roman"/>
          <w:color w:val="000000"/>
        </w:rPr>
        <w:br/>
      </w:r>
      <w:r>
        <w:rPr>
          <w:rFonts w:eastAsia="Times New Roman"/>
          <w:color w:val="000000"/>
        </w:rPr>
        <w:lastRenderedPageBreak/>
        <w:t>Станом на 31 грудня 2017 року та 31 грудня 2016 року поточна кредиторська заборгованiсть за розрахунками з бюджетом була представлена наступним чином:</w:t>
      </w:r>
      <w:r>
        <w:rPr>
          <w:rFonts w:eastAsia="Times New Roman"/>
          <w:color w:val="000000"/>
        </w:rPr>
        <w:br/>
        <w:t>Найменування 31 грудня 2017 року 31 грудня 2016 року</w:t>
      </w:r>
      <w:r>
        <w:rPr>
          <w:rFonts w:eastAsia="Times New Roman"/>
          <w:color w:val="000000"/>
        </w:rPr>
        <w:br/>
      </w:r>
      <w:r>
        <w:rPr>
          <w:rFonts w:eastAsia="Times New Roman"/>
          <w:color w:val="000000"/>
        </w:rPr>
        <w:br/>
        <w:t>Податок на прибуток 496 133</w:t>
      </w:r>
      <w:r>
        <w:rPr>
          <w:rFonts w:eastAsia="Times New Roman"/>
          <w:color w:val="000000"/>
        </w:rPr>
        <w:br/>
        <w:t>Податок на додану вартiсть - 437</w:t>
      </w:r>
      <w:r>
        <w:rPr>
          <w:rFonts w:eastAsia="Times New Roman"/>
          <w:color w:val="000000"/>
        </w:rPr>
        <w:br/>
        <w:t>Акцизний податок 324 304</w:t>
      </w:r>
      <w:r>
        <w:rPr>
          <w:rFonts w:eastAsia="Times New Roman"/>
          <w:color w:val="000000"/>
        </w:rPr>
        <w:br/>
        <w:t>Рентна плата за воду 1 181 895</w:t>
      </w:r>
      <w:r>
        <w:rPr>
          <w:rFonts w:eastAsia="Times New Roman"/>
          <w:color w:val="000000"/>
        </w:rPr>
        <w:br/>
        <w:t>Рентна плата за радiочастотнi ресурси - 1</w:t>
      </w:r>
      <w:r>
        <w:rPr>
          <w:rFonts w:eastAsia="Times New Roman"/>
          <w:color w:val="000000"/>
        </w:rPr>
        <w:br/>
        <w:t>Податок з плати за землю 155 144</w:t>
      </w:r>
      <w:r>
        <w:rPr>
          <w:rFonts w:eastAsia="Times New Roman"/>
          <w:color w:val="000000"/>
        </w:rPr>
        <w:br/>
        <w:t>Податок на нерухоме майно, вiдмiнне вiд земельної дiлянки - 2</w:t>
      </w:r>
      <w:r>
        <w:rPr>
          <w:rFonts w:eastAsia="Times New Roman"/>
          <w:color w:val="000000"/>
        </w:rPr>
        <w:br/>
      </w:r>
      <w:r>
        <w:rPr>
          <w:rFonts w:eastAsia="Times New Roman"/>
          <w:color w:val="000000"/>
        </w:rPr>
        <w:br/>
        <w:t>Всього 2 156 1 916</w:t>
      </w:r>
      <w:r>
        <w:rPr>
          <w:rFonts w:eastAsia="Times New Roman"/>
          <w:color w:val="000000"/>
        </w:rPr>
        <w:br/>
      </w:r>
      <w:r>
        <w:rPr>
          <w:rFonts w:eastAsia="Times New Roman"/>
          <w:color w:val="000000"/>
        </w:rPr>
        <w:br/>
        <w:t>16. Забезпечення наступних виплат i платежiв (рядок фiнансового звiту “1660”)</w:t>
      </w:r>
      <w:r>
        <w:rPr>
          <w:rFonts w:eastAsia="Times New Roman"/>
          <w:color w:val="000000"/>
        </w:rPr>
        <w:br/>
        <w:t>Станом на 31 грудня 2017 року та 31 грудня 2016 року забезпечення наступних виплат i платежiв були представленi наступним чином:</w:t>
      </w:r>
      <w:r>
        <w:rPr>
          <w:rFonts w:eastAsia="Times New Roman"/>
          <w:color w:val="000000"/>
        </w:rPr>
        <w:br/>
      </w:r>
      <w:r>
        <w:rPr>
          <w:rFonts w:eastAsia="Times New Roman"/>
          <w:color w:val="000000"/>
        </w:rPr>
        <w:br/>
        <w:t>31 грудня 2017 року 31 грудня 2016 року</w:t>
      </w:r>
      <w:r>
        <w:rPr>
          <w:rFonts w:eastAsia="Times New Roman"/>
          <w:color w:val="000000"/>
        </w:rPr>
        <w:br/>
      </w:r>
      <w:r>
        <w:rPr>
          <w:rFonts w:eastAsia="Times New Roman"/>
          <w:color w:val="000000"/>
        </w:rPr>
        <w:br/>
        <w:t>Забезпечення наступних витрат на невикористанi вiдпустки 1 761 923</w:t>
      </w:r>
      <w:r>
        <w:rPr>
          <w:rFonts w:eastAsia="Times New Roman"/>
          <w:color w:val="000000"/>
        </w:rPr>
        <w:br/>
        <w:t>Забезпечення на рiчний аудит 900 22</w:t>
      </w:r>
      <w:r>
        <w:rPr>
          <w:rFonts w:eastAsia="Times New Roman"/>
          <w:color w:val="000000"/>
        </w:rPr>
        <w:br/>
        <w:t>Всього 2 661 945</w:t>
      </w:r>
      <w:r>
        <w:rPr>
          <w:rFonts w:eastAsia="Times New Roman"/>
          <w:color w:val="000000"/>
        </w:rPr>
        <w:br/>
        <w:t>Рух забезпечень за 2017 рiк наступний:</w:t>
      </w:r>
      <w:r>
        <w:rPr>
          <w:rFonts w:eastAsia="Times New Roman"/>
          <w:color w:val="000000"/>
        </w:rPr>
        <w:br/>
        <w:t>На 31.12.2016 Нараховано за перiод Використано На 31.12.2017</w:t>
      </w:r>
      <w:r>
        <w:rPr>
          <w:rFonts w:eastAsia="Times New Roman"/>
          <w:color w:val="000000"/>
        </w:rPr>
        <w:br/>
        <w:t>Забезпечення витрат за невикористанi вiдпустки 923 2 193 (1 355) 1 761</w:t>
      </w:r>
      <w:r>
        <w:rPr>
          <w:rFonts w:eastAsia="Times New Roman"/>
          <w:color w:val="000000"/>
        </w:rPr>
        <w:br/>
        <w:t>Забезпечення на рiчний аудит 22 878 (-) 900</w:t>
      </w:r>
      <w:r>
        <w:rPr>
          <w:rFonts w:eastAsia="Times New Roman"/>
          <w:color w:val="000000"/>
        </w:rPr>
        <w:br/>
        <w:t>Всього 945 3 071 (1 355) 2 661</w:t>
      </w:r>
      <w:r>
        <w:rPr>
          <w:rFonts w:eastAsia="Times New Roman"/>
          <w:color w:val="000000"/>
        </w:rPr>
        <w:br/>
        <w:t>17. Iншi поточнi зобов’язання (рядок фiнансового звiту “1690”)</w:t>
      </w:r>
      <w:r>
        <w:rPr>
          <w:rFonts w:eastAsia="Times New Roman"/>
          <w:color w:val="000000"/>
        </w:rPr>
        <w:br/>
        <w:t>Станом на 31 грудня 2017 року та 31 грудня 2016 року iншi поточнi зобов’язання представленi наступним чином:</w:t>
      </w:r>
      <w:r>
        <w:rPr>
          <w:rFonts w:eastAsia="Times New Roman"/>
          <w:color w:val="000000"/>
        </w:rPr>
        <w:br/>
        <w:t>Найменування 31 грудня 2017 року 31 грудня 2016 року</w:t>
      </w:r>
      <w:r>
        <w:rPr>
          <w:rFonts w:eastAsia="Times New Roman"/>
          <w:color w:val="000000"/>
        </w:rPr>
        <w:br/>
      </w:r>
      <w:r>
        <w:rPr>
          <w:rFonts w:eastAsia="Times New Roman"/>
          <w:color w:val="000000"/>
        </w:rPr>
        <w:br/>
        <w:t>Податковий кредит з ПДВ в авансах виплачених 545 9</w:t>
      </w:r>
      <w:r>
        <w:rPr>
          <w:rFonts w:eastAsia="Times New Roman"/>
          <w:color w:val="000000"/>
        </w:rPr>
        <w:br/>
        <w:t>Податковi зобов’язання у неоплачених рахунках за касовим методом облiку ПДВ 3 921 3 262</w:t>
      </w:r>
      <w:r>
        <w:rPr>
          <w:rFonts w:eastAsia="Times New Roman"/>
          <w:color w:val="000000"/>
        </w:rPr>
        <w:br/>
        <w:t>Зобов’язання по профспiлковим внескам - 1</w:t>
      </w:r>
      <w:r>
        <w:rPr>
          <w:rFonts w:eastAsia="Times New Roman"/>
          <w:color w:val="000000"/>
        </w:rPr>
        <w:br/>
      </w:r>
      <w:r>
        <w:rPr>
          <w:rFonts w:eastAsia="Times New Roman"/>
          <w:color w:val="000000"/>
        </w:rPr>
        <w:br/>
        <w:t>Всього 4 466 3 272</w:t>
      </w:r>
      <w:r>
        <w:rPr>
          <w:rFonts w:eastAsia="Times New Roman"/>
          <w:color w:val="000000"/>
        </w:rPr>
        <w:br/>
      </w:r>
      <w:r>
        <w:rPr>
          <w:rFonts w:eastAsia="Times New Roman"/>
          <w:color w:val="000000"/>
        </w:rPr>
        <w:br/>
        <w:t>18. Чистий дохiд вiд реалiзацiї продукцiї (товарiв, робiт, послуг) (рядок Звiту про сукупний дохiд “2000“)</w:t>
      </w:r>
      <w:r>
        <w:rPr>
          <w:rFonts w:eastAsia="Times New Roman"/>
          <w:color w:val="000000"/>
        </w:rPr>
        <w:br/>
        <w:t>Чистий дохiд реалiзованої продукцiї (товарiв, робiт, послуг) за 2017 та 2016 роки представлений наступним чином:</w:t>
      </w:r>
      <w:r>
        <w:rPr>
          <w:rFonts w:eastAsia="Times New Roman"/>
          <w:color w:val="000000"/>
        </w:rPr>
        <w:br/>
        <w:t>Найменування 2017 рiк 2016 рiк</w:t>
      </w:r>
      <w:r>
        <w:rPr>
          <w:rFonts w:eastAsia="Times New Roman"/>
          <w:color w:val="000000"/>
        </w:rPr>
        <w:br/>
      </w:r>
      <w:r>
        <w:rPr>
          <w:rFonts w:eastAsia="Times New Roman"/>
          <w:color w:val="000000"/>
        </w:rPr>
        <w:br/>
        <w:t>Доходи вiд реалiзацiї активної електроенергiї 86 046 63 053</w:t>
      </w:r>
      <w:r>
        <w:rPr>
          <w:rFonts w:eastAsia="Times New Roman"/>
          <w:color w:val="000000"/>
        </w:rPr>
        <w:br/>
      </w:r>
      <w:r>
        <w:rPr>
          <w:rFonts w:eastAsia="Times New Roman"/>
          <w:color w:val="000000"/>
        </w:rPr>
        <w:br/>
        <w:t>Всього 86 046 63 053</w:t>
      </w:r>
      <w:r>
        <w:rPr>
          <w:rFonts w:eastAsia="Times New Roman"/>
          <w:color w:val="000000"/>
        </w:rPr>
        <w:br/>
        <w:t>19. Собiвартiсть реалiзованої продукцiї (товарiв, робiт, послуг) (рядок Звiту про сукупний дохiд “2050“)</w:t>
      </w:r>
      <w:r>
        <w:rPr>
          <w:rFonts w:eastAsia="Times New Roman"/>
          <w:color w:val="000000"/>
        </w:rPr>
        <w:br/>
        <w:t>Собiвартiсть реалiзованої продукцiї (товарiв, робiт, послуг) за 2017 та 2016 роки представлена наступним чином:</w:t>
      </w:r>
      <w:r>
        <w:rPr>
          <w:rFonts w:eastAsia="Times New Roman"/>
          <w:color w:val="000000"/>
        </w:rPr>
        <w:br/>
        <w:t>Найменування 2017 рiк 2016 рiк</w:t>
      </w:r>
      <w:r>
        <w:rPr>
          <w:rFonts w:eastAsia="Times New Roman"/>
          <w:color w:val="000000"/>
        </w:rPr>
        <w:br/>
      </w:r>
      <w:r>
        <w:rPr>
          <w:rFonts w:eastAsia="Times New Roman"/>
          <w:color w:val="000000"/>
        </w:rPr>
        <w:lastRenderedPageBreak/>
        <w:br/>
        <w:t xml:space="preserve">Собiвартiсть реалiзованої продукцiї </w:t>
      </w:r>
      <w:r>
        <w:rPr>
          <w:rFonts w:eastAsia="Times New Roman"/>
          <w:color w:val="000000"/>
        </w:rPr>
        <w:br/>
        <w:t>(товарiв, робiт, послуг) 49 673 38 730</w:t>
      </w:r>
      <w:r>
        <w:rPr>
          <w:rFonts w:eastAsia="Times New Roman"/>
          <w:color w:val="000000"/>
        </w:rPr>
        <w:br/>
      </w:r>
      <w:r>
        <w:rPr>
          <w:rFonts w:eastAsia="Times New Roman"/>
          <w:color w:val="000000"/>
        </w:rPr>
        <w:br/>
        <w:t>Всього 49 673 38 730</w:t>
      </w:r>
      <w:r>
        <w:rPr>
          <w:rFonts w:eastAsia="Times New Roman"/>
          <w:color w:val="000000"/>
        </w:rPr>
        <w:br/>
        <w:t xml:space="preserve">СТРУКТУРА СОБIВАРТОСТI </w:t>
      </w:r>
      <w:r>
        <w:rPr>
          <w:rFonts w:eastAsia="Times New Roman"/>
          <w:color w:val="000000"/>
        </w:rPr>
        <w:br/>
        <w:t>Статтi витрат 2017 рiк 2016 рiк</w:t>
      </w:r>
      <w:r>
        <w:rPr>
          <w:rFonts w:eastAsia="Times New Roman"/>
          <w:color w:val="000000"/>
        </w:rPr>
        <w:br/>
        <w:t>Ремонтнi роботи 14 185 7 122</w:t>
      </w:r>
      <w:r>
        <w:rPr>
          <w:rFonts w:eastAsia="Times New Roman"/>
          <w:color w:val="000000"/>
        </w:rPr>
        <w:br/>
        <w:t>Витрати на оплату працi 9 940 7 720</w:t>
      </w:r>
      <w:r>
        <w:rPr>
          <w:rFonts w:eastAsia="Times New Roman"/>
          <w:color w:val="000000"/>
        </w:rPr>
        <w:br/>
        <w:t>Амортизацiя необоротних активiв 9 827 13 798</w:t>
      </w:r>
      <w:r>
        <w:rPr>
          <w:rFonts w:eastAsia="Times New Roman"/>
          <w:color w:val="000000"/>
        </w:rPr>
        <w:br/>
        <w:t>Збiр за використання водних ресурсiв 4 443 3 555</w:t>
      </w:r>
      <w:r>
        <w:rPr>
          <w:rFonts w:eastAsia="Times New Roman"/>
          <w:color w:val="000000"/>
        </w:rPr>
        <w:br/>
        <w:t>Вiдрахування на соцiальнi заходи 2 087 1 653</w:t>
      </w:r>
      <w:r>
        <w:rPr>
          <w:rFonts w:eastAsia="Times New Roman"/>
          <w:color w:val="000000"/>
        </w:rPr>
        <w:br/>
        <w:t>Транспортнi послуги 1 886 203</w:t>
      </w:r>
      <w:r>
        <w:rPr>
          <w:rFonts w:eastAsia="Times New Roman"/>
          <w:color w:val="000000"/>
        </w:rPr>
        <w:br/>
        <w:t>Сировина i допомiжнi матерiали 1 729 1 643</w:t>
      </w:r>
      <w:r>
        <w:rPr>
          <w:rFonts w:eastAsia="Times New Roman"/>
          <w:color w:val="000000"/>
        </w:rPr>
        <w:br/>
        <w:t>Вартiсть купованої електроенергiї 947 739</w:t>
      </w:r>
      <w:r>
        <w:rPr>
          <w:rFonts w:eastAsia="Times New Roman"/>
          <w:color w:val="000000"/>
        </w:rPr>
        <w:br/>
        <w:t>Страхування працiвникiв 945 109</w:t>
      </w:r>
      <w:r>
        <w:rPr>
          <w:rFonts w:eastAsia="Times New Roman"/>
          <w:color w:val="000000"/>
        </w:rPr>
        <w:br/>
        <w:t>Iншi витрати 574 81</w:t>
      </w:r>
      <w:r>
        <w:rPr>
          <w:rFonts w:eastAsia="Times New Roman"/>
          <w:color w:val="000000"/>
        </w:rPr>
        <w:br/>
        <w:t>Плата за землю 436 411</w:t>
      </w:r>
      <w:r>
        <w:rPr>
          <w:rFonts w:eastAsia="Times New Roman"/>
          <w:color w:val="000000"/>
        </w:rPr>
        <w:br/>
        <w:t>Послуги з наладки, обслуговування та випробування обладнання 370 425</w:t>
      </w:r>
      <w:r>
        <w:rPr>
          <w:rFonts w:eastAsia="Times New Roman"/>
          <w:color w:val="000000"/>
        </w:rPr>
        <w:br/>
        <w:t>Послуги лабораторiй 57 58</w:t>
      </w:r>
      <w:r>
        <w:rPr>
          <w:rFonts w:eastAsia="Times New Roman"/>
          <w:color w:val="000000"/>
        </w:rPr>
        <w:br/>
        <w:t>Витрати на оплату службових вiдряджень 49 68</w:t>
      </w:r>
      <w:r>
        <w:rPr>
          <w:rFonts w:eastAsia="Times New Roman"/>
          <w:color w:val="000000"/>
        </w:rPr>
        <w:br/>
        <w:t>Iншi обов'язковi платежi 38 52</w:t>
      </w:r>
      <w:r>
        <w:rPr>
          <w:rFonts w:eastAsia="Times New Roman"/>
          <w:color w:val="000000"/>
        </w:rPr>
        <w:br/>
        <w:t>Паливно-мастильнi матерiали 29 30</w:t>
      </w:r>
      <w:r>
        <w:rPr>
          <w:rFonts w:eastAsia="Times New Roman"/>
          <w:color w:val="000000"/>
        </w:rPr>
        <w:br/>
        <w:t>Витрати на зв'язок 22 33</w:t>
      </w:r>
      <w:r>
        <w:rPr>
          <w:rFonts w:eastAsia="Times New Roman"/>
          <w:color w:val="000000"/>
        </w:rPr>
        <w:br/>
        <w:t>Пiдготовка кадрiв 2 5</w:t>
      </w:r>
      <w:r>
        <w:rPr>
          <w:rFonts w:eastAsia="Times New Roman"/>
          <w:color w:val="000000"/>
        </w:rPr>
        <w:br/>
        <w:t>Перiодичнi видання 2 2</w:t>
      </w:r>
      <w:r>
        <w:rPr>
          <w:rFonts w:eastAsia="Times New Roman"/>
          <w:color w:val="000000"/>
        </w:rPr>
        <w:br/>
        <w:t>Iншi послуги 2 105 1 023</w:t>
      </w:r>
      <w:r>
        <w:rPr>
          <w:rFonts w:eastAsia="Times New Roman"/>
          <w:color w:val="000000"/>
        </w:rPr>
        <w:br/>
        <w:t>Разом собiвартiсть 49 673 38 730</w:t>
      </w:r>
      <w:r>
        <w:rPr>
          <w:rFonts w:eastAsia="Times New Roman"/>
          <w:color w:val="000000"/>
        </w:rPr>
        <w:br/>
        <w:t>20. Iншi операцiйнi доходи (рядок Звiту про сукупний дохiд “2120“)</w:t>
      </w:r>
      <w:r>
        <w:rPr>
          <w:rFonts w:eastAsia="Times New Roman"/>
          <w:color w:val="000000"/>
        </w:rPr>
        <w:br/>
        <w:t>Iншi операцiйнi доходи за 2017 та 2016 роки були представленi наступним чином:</w:t>
      </w:r>
      <w:r>
        <w:rPr>
          <w:rFonts w:eastAsia="Times New Roman"/>
          <w:color w:val="000000"/>
        </w:rPr>
        <w:br/>
        <w:t>Найменування 2017 рiк 2016 рiк</w:t>
      </w:r>
      <w:r>
        <w:rPr>
          <w:rFonts w:eastAsia="Times New Roman"/>
          <w:color w:val="000000"/>
        </w:rPr>
        <w:br/>
      </w:r>
      <w:r>
        <w:rPr>
          <w:rFonts w:eastAsia="Times New Roman"/>
          <w:color w:val="000000"/>
        </w:rPr>
        <w:br/>
        <w:t>Дохiд вiд оренди активiв 1 235 1 898</w:t>
      </w:r>
      <w:r>
        <w:rPr>
          <w:rFonts w:eastAsia="Times New Roman"/>
          <w:color w:val="000000"/>
        </w:rPr>
        <w:br/>
        <w:t>Дохiд вiд реалiзацiї необоротних активiв - 38</w:t>
      </w:r>
      <w:r>
        <w:rPr>
          <w:rFonts w:eastAsia="Times New Roman"/>
          <w:color w:val="000000"/>
        </w:rPr>
        <w:br/>
        <w:t>Iншi операцiйнi доходи 523 885</w:t>
      </w:r>
      <w:r>
        <w:rPr>
          <w:rFonts w:eastAsia="Times New Roman"/>
          <w:color w:val="000000"/>
        </w:rPr>
        <w:br/>
      </w:r>
      <w:r>
        <w:rPr>
          <w:rFonts w:eastAsia="Times New Roman"/>
          <w:color w:val="000000"/>
        </w:rPr>
        <w:br/>
        <w:t>Всього 1 758 2 821</w:t>
      </w:r>
      <w:r>
        <w:rPr>
          <w:rFonts w:eastAsia="Times New Roman"/>
          <w:color w:val="000000"/>
        </w:rPr>
        <w:br/>
        <w:t>21. Адмiнiстративнi витрати (рядок Звiту про сукупний дохiд “2130“)</w:t>
      </w:r>
      <w:r>
        <w:rPr>
          <w:rFonts w:eastAsia="Times New Roman"/>
          <w:color w:val="000000"/>
        </w:rPr>
        <w:br/>
        <w:t>Адмiнiстративнi витрати за 2017 та 2016 роки представленi наступним чином:</w:t>
      </w:r>
      <w:r>
        <w:rPr>
          <w:rFonts w:eastAsia="Times New Roman"/>
          <w:color w:val="000000"/>
        </w:rPr>
        <w:br/>
        <w:t>2017 рiк 2016 рiк</w:t>
      </w:r>
      <w:r>
        <w:rPr>
          <w:rFonts w:eastAsia="Times New Roman"/>
          <w:color w:val="000000"/>
        </w:rPr>
        <w:br/>
        <w:t>Витрати на оплату працi (8 808) (7 173)</w:t>
      </w:r>
      <w:r>
        <w:rPr>
          <w:rFonts w:eastAsia="Times New Roman"/>
          <w:color w:val="000000"/>
        </w:rPr>
        <w:br/>
        <w:t>Матерiальнi витрати (592) (498)</w:t>
      </w:r>
      <w:r>
        <w:rPr>
          <w:rFonts w:eastAsia="Times New Roman"/>
          <w:color w:val="000000"/>
        </w:rPr>
        <w:br/>
        <w:t>Витрати на вiдрядження (706) (490)</w:t>
      </w:r>
      <w:r>
        <w:rPr>
          <w:rFonts w:eastAsia="Times New Roman"/>
          <w:color w:val="000000"/>
        </w:rPr>
        <w:br/>
        <w:t>Консультацiйнi послуги (208) (417)</w:t>
      </w:r>
      <w:r>
        <w:rPr>
          <w:rFonts w:eastAsia="Times New Roman"/>
          <w:color w:val="000000"/>
        </w:rPr>
        <w:br/>
        <w:t>Амортизацiя необоротних активiв (472) (350)</w:t>
      </w:r>
      <w:r>
        <w:rPr>
          <w:rFonts w:eastAsia="Times New Roman"/>
          <w:color w:val="000000"/>
        </w:rPr>
        <w:br/>
        <w:t>Страхування (1 236) (183)</w:t>
      </w:r>
      <w:r>
        <w:rPr>
          <w:rFonts w:eastAsia="Times New Roman"/>
          <w:color w:val="000000"/>
        </w:rPr>
        <w:br/>
        <w:t>Послуги реєстратора (173) (121)</w:t>
      </w:r>
      <w:r>
        <w:rPr>
          <w:rFonts w:eastAsia="Times New Roman"/>
          <w:color w:val="000000"/>
        </w:rPr>
        <w:br/>
        <w:t>Витрати на зв'язок (81) (109)</w:t>
      </w:r>
      <w:r>
        <w:rPr>
          <w:rFonts w:eastAsia="Times New Roman"/>
          <w:color w:val="000000"/>
        </w:rPr>
        <w:br/>
        <w:t>Витрати на послуги банку (57) (47)</w:t>
      </w:r>
      <w:r>
        <w:rPr>
          <w:rFonts w:eastAsia="Times New Roman"/>
          <w:color w:val="000000"/>
        </w:rPr>
        <w:br/>
        <w:t>Представницькi витрати (44) (36)</w:t>
      </w:r>
      <w:r>
        <w:rPr>
          <w:rFonts w:eastAsia="Times New Roman"/>
          <w:color w:val="000000"/>
        </w:rPr>
        <w:br/>
        <w:t>Iнформацiйнi послуги (504) (35)</w:t>
      </w:r>
      <w:r>
        <w:rPr>
          <w:rFonts w:eastAsia="Times New Roman"/>
          <w:color w:val="000000"/>
        </w:rPr>
        <w:br/>
        <w:t>Аудиторськi послуги (1 627) (22)</w:t>
      </w:r>
      <w:r>
        <w:rPr>
          <w:rFonts w:eastAsia="Times New Roman"/>
          <w:color w:val="000000"/>
        </w:rPr>
        <w:br/>
        <w:t>Транспортнi послуги (8) (15)</w:t>
      </w:r>
      <w:r>
        <w:rPr>
          <w:rFonts w:eastAsia="Times New Roman"/>
          <w:color w:val="000000"/>
        </w:rPr>
        <w:br/>
      </w:r>
      <w:r>
        <w:rPr>
          <w:rFonts w:eastAsia="Times New Roman"/>
          <w:color w:val="000000"/>
        </w:rPr>
        <w:lastRenderedPageBreak/>
        <w:t>Витрати на комп'ютеризацiю облiкових робiт (16) (11)</w:t>
      </w:r>
      <w:r>
        <w:rPr>
          <w:rFonts w:eastAsia="Times New Roman"/>
          <w:color w:val="000000"/>
        </w:rPr>
        <w:br/>
        <w:t>Ремонт (92) (4)</w:t>
      </w:r>
      <w:r>
        <w:rPr>
          <w:rFonts w:eastAsia="Times New Roman"/>
          <w:color w:val="000000"/>
        </w:rPr>
        <w:br/>
        <w:t>Юридичнi послуги (22) (3)</w:t>
      </w:r>
      <w:r>
        <w:rPr>
          <w:rFonts w:eastAsia="Times New Roman"/>
          <w:color w:val="000000"/>
        </w:rPr>
        <w:br/>
        <w:t>Iншi витрати (5 012) (4 267)</w:t>
      </w:r>
      <w:r>
        <w:rPr>
          <w:rFonts w:eastAsia="Times New Roman"/>
          <w:color w:val="000000"/>
        </w:rPr>
        <w:br/>
        <w:t>Всього (19 659) (13 781)</w:t>
      </w:r>
      <w:r>
        <w:rPr>
          <w:rFonts w:eastAsia="Times New Roman"/>
          <w:color w:val="000000"/>
        </w:rPr>
        <w:br/>
        <w:t>22. Iншi операцiйнi витрати (рядок Звiту про сукупний дохiд “2180“)</w:t>
      </w:r>
      <w:r>
        <w:rPr>
          <w:rFonts w:eastAsia="Times New Roman"/>
          <w:color w:val="000000"/>
        </w:rPr>
        <w:br/>
        <w:t>Iншi операцiйнi витрати за 2017 та 2016 роки представленi наступним чином:</w:t>
      </w:r>
      <w:r>
        <w:rPr>
          <w:rFonts w:eastAsia="Times New Roman"/>
          <w:color w:val="000000"/>
        </w:rPr>
        <w:br/>
        <w:t>2017 рiк 2016 рiк</w:t>
      </w:r>
      <w:r>
        <w:rPr>
          <w:rFonts w:eastAsia="Times New Roman"/>
          <w:color w:val="000000"/>
        </w:rPr>
        <w:br/>
        <w:t>Сумнiвнi борги (11 547) (1 474)</w:t>
      </w:r>
      <w:r>
        <w:rPr>
          <w:rFonts w:eastAsia="Times New Roman"/>
          <w:color w:val="000000"/>
        </w:rPr>
        <w:br/>
        <w:t>Амортизацiя необоротних активiв (424) (721)</w:t>
      </w:r>
      <w:r>
        <w:rPr>
          <w:rFonts w:eastAsia="Times New Roman"/>
          <w:color w:val="000000"/>
        </w:rPr>
        <w:br/>
        <w:t>Витрати на оплату працi (315) (559)</w:t>
      </w:r>
      <w:r>
        <w:rPr>
          <w:rFonts w:eastAsia="Times New Roman"/>
          <w:color w:val="000000"/>
        </w:rPr>
        <w:br/>
        <w:t>Ремонтнi роботи ( - ) (395)</w:t>
      </w:r>
      <w:r>
        <w:rPr>
          <w:rFonts w:eastAsia="Times New Roman"/>
          <w:color w:val="000000"/>
        </w:rPr>
        <w:br/>
        <w:t>Списання ОЗ (ПДВ) (1 416) (331)</w:t>
      </w:r>
      <w:r>
        <w:rPr>
          <w:rFonts w:eastAsia="Times New Roman"/>
          <w:color w:val="000000"/>
        </w:rPr>
        <w:br/>
        <w:t>Списання безнадiйної дебiторської заборгованостi ( - ) (318)</w:t>
      </w:r>
      <w:r>
        <w:rPr>
          <w:rFonts w:eastAsia="Times New Roman"/>
          <w:color w:val="000000"/>
        </w:rPr>
        <w:br/>
        <w:t>Вiдрахування профспiлковому комiтету (321) (269)</w:t>
      </w:r>
      <w:r>
        <w:rPr>
          <w:rFonts w:eastAsia="Times New Roman"/>
          <w:color w:val="000000"/>
        </w:rPr>
        <w:br/>
        <w:t>Iншi операцiйнi витрати (160) (171)</w:t>
      </w:r>
      <w:r>
        <w:rPr>
          <w:rFonts w:eastAsia="Times New Roman"/>
          <w:color w:val="000000"/>
        </w:rPr>
        <w:br/>
        <w:t>Утримання бази вiдпочинку «Вишнева» ( - ) (135)</w:t>
      </w:r>
      <w:r>
        <w:rPr>
          <w:rFonts w:eastAsia="Times New Roman"/>
          <w:color w:val="000000"/>
        </w:rPr>
        <w:br/>
        <w:t>Благодiйна допомога ( - ) (67)</w:t>
      </w:r>
      <w:r>
        <w:rPr>
          <w:rFonts w:eastAsia="Times New Roman"/>
          <w:color w:val="000000"/>
        </w:rPr>
        <w:br/>
        <w:t>Плата за землю (2) (42)</w:t>
      </w:r>
      <w:r>
        <w:rPr>
          <w:rFonts w:eastAsia="Times New Roman"/>
          <w:color w:val="000000"/>
        </w:rPr>
        <w:br/>
        <w:t>Матерiальнi витрати ( - ) (6)</w:t>
      </w:r>
      <w:r>
        <w:rPr>
          <w:rFonts w:eastAsia="Times New Roman"/>
          <w:color w:val="000000"/>
        </w:rPr>
        <w:br/>
        <w:t>Всього (14 186) (4 488)</w:t>
      </w:r>
      <w:r>
        <w:rPr>
          <w:rFonts w:eastAsia="Times New Roman"/>
          <w:color w:val="000000"/>
        </w:rPr>
        <w:br/>
        <w:t>23. Iншi фiнансовi доходи (рядок Звiту про сукупний дохiд “2220“)</w:t>
      </w:r>
      <w:r>
        <w:rPr>
          <w:rFonts w:eastAsia="Times New Roman"/>
          <w:color w:val="000000"/>
        </w:rPr>
        <w:br/>
        <w:t>Iншi операцiйнi доходи за 2017 та 2016 роки були представленi наступним чином:</w:t>
      </w:r>
      <w:r>
        <w:rPr>
          <w:rFonts w:eastAsia="Times New Roman"/>
          <w:color w:val="000000"/>
        </w:rPr>
        <w:br/>
        <w:t>Найменування 2017 рiк 2016 рiк</w:t>
      </w:r>
      <w:r>
        <w:rPr>
          <w:rFonts w:eastAsia="Times New Roman"/>
          <w:color w:val="000000"/>
        </w:rPr>
        <w:br/>
      </w:r>
      <w:r>
        <w:rPr>
          <w:rFonts w:eastAsia="Times New Roman"/>
          <w:color w:val="000000"/>
        </w:rPr>
        <w:br/>
        <w:t>Вiдсотки за депозитом 1 517 74</w:t>
      </w:r>
      <w:r>
        <w:rPr>
          <w:rFonts w:eastAsia="Times New Roman"/>
          <w:color w:val="000000"/>
        </w:rPr>
        <w:br/>
      </w:r>
      <w:r>
        <w:rPr>
          <w:rFonts w:eastAsia="Times New Roman"/>
          <w:color w:val="000000"/>
        </w:rPr>
        <w:br/>
        <w:t>Всього 1 517 74</w:t>
      </w:r>
      <w:r>
        <w:rPr>
          <w:rFonts w:eastAsia="Times New Roman"/>
          <w:color w:val="000000"/>
        </w:rPr>
        <w:br/>
        <w:t>24. Iншi витрати (рядок Звiту про сукупний дохiд “2270“)</w:t>
      </w:r>
      <w:r>
        <w:rPr>
          <w:rFonts w:eastAsia="Times New Roman"/>
          <w:color w:val="000000"/>
        </w:rPr>
        <w:br/>
        <w:t>Iншi витрати за 2017 та 2016 роки представленi наступним чином:</w:t>
      </w:r>
      <w:r>
        <w:rPr>
          <w:rFonts w:eastAsia="Times New Roman"/>
          <w:color w:val="000000"/>
        </w:rPr>
        <w:br/>
        <w:t>2017 рiк 2016 рiк</w:t>
      </w:r>
      <w:r>
        <w:rPr>
          <w:rFonts w:eastAsia="Times New Roman"/>
          <w:color w:val="000000"/>
        </w:rPr>
        <w:br/>
      </w:r>
      <w:r>
        <w:rPr>
          <w:rFonts w:eastAsia="Times New Roman"/>
          <w:color w:val="000000"/>
        </w:rPr>
        <w:br/>
        <w:t>Безоплатна передача бази вiдпочинку «Вишнева» - (6 143)</w:t>
      </w:r>
      <w:r>
        <w:rPr>
          <w:rFonts w:eastAsia="Times New Roman"/>
          <w:color w:val="000000"/>
        </w:rPr>
        <w:br/>
        <w:t>Витрати по базi «Вишнева» - (298)</w:t>
      </w:r>
      <w:r>
        <w:rPr>
          <w:rFonts w:eastAsia="Times New Roman"/>
          <w:color w:val="000000"/>
        </w:rPr>
        <w:br/>
        <w:t>Списання основних засобiв (13) (89)</w:t>
      </w:r>
      <w:r>
        <w:rPr>
          <w:rFonts w:eastAsia="Times New Roman"/>
          <w:color w:val="000000"/>
        </w:rPr>
        <w:br/>
        <w:t>Всього (13) (6 530)</w:t>
      </w:r>
      <w:r>
        <w:rPr>
          <w:rFonts w:eastAsia="Times New Roman"/>
          <w:color w:val="000000"/>
        </w:rPr>
        <w:br/>
        <w:t>25. Фiнансовi результати (рядки Звiту про сукупний дохiд “2290“ та “2350“)</w:t>
      </w:r>
      <w:r>
        <w:rPr>
          <w:rFonts w:eastAsia="Times New Roman"/>
          <w:color w:val="000000"/>
        </w:rPr>
        <w:br/>
        <w:t>Найменування 2017 рiк 2016 рiк</w:t>
      </w:r>
      <w:r>
        <w:rPr>
          <w:rFonts w:eastAsia="Times New Roman"/>
          <w:color w:val="000000"/>
        </w:rPr>
        <w:br/>
      </w:r>
      <w:r>
        <w:rPr>
          <w:rFonts w:eastAsia="Times New Roman"/>
          <w:color w:val="000000"/>
        </w:rPr>
        <w:br/>
        <w:t xml:space="preserve">Фiнансовий результат до оподаткування: </w:t>
      </w:r>
      <w:r>
        <w:rPr>
          <w:rFonts w:eastAsia="Times New Roman"/>
          <w:color w:val="000000"/>
        </w:rPr>
        <w:br/>
        <w:t>прибуток 5 790 2 419</w:t>
      </w:r>
      <w:r>
        <w:rPr>
          <w:rFonts w:eastAsia="Times New Roman"/>
          <w:color w:val="000000"/>
        </w:rPr>
        <w:br/>
        <w:t xml:space="preserve">Чистий фiнансовий результат: </w:t>
      </w:r>
      <w:r>
        <w:rPr>
          <w:rFonts w:eastAsia="Times New Roman"/>
          <w:color w:val="000000"/>
        </w:rPr>
        <w:br/>
        <w:t xml:space="preserve">прибуток 3 291 1 834 </w:t>
      </w:r>
      <w:r>
        <w:rPr>
          <w:rFonts w:eastAsia="Times New Roman"/>
          <w:color w:val="000000"/>
        </w:rPr>
        <w:br/>
      </w:r>
      <w:r>
        <w:rPr>
          <w:rFonts w:eastAsia="Times New Roman"/>
          <w:color w:val="000000"/>
        </w:rPr>
        <w:br/>
        <w:t>26. Операцiї з пов’язаними сторонами</w:t>
      </w:r>
      <w:r>
        <w:rPr>
          <w:rFonts w:eastAsia="Times New Roman"/>
          <w:color w:val="000000"/>
        </w:rPr>
        <w:br/>
        <w:t xml:space="preserve">Сторони вважаються пов’язаними, якщо перебувають пiд контролем або суттєвим впливом iнших осiб, також пов’язаними сторонами вважаються пiдприємства i фiзичнi особи, якi прямо або опосередковано здiйснюють контроль над пiдприємством або суттєво впливають на його дiяльнiсть, а також близькi члени родини такої фiзичної особи. </w:t>
      </w:r>
      <w:r>
        <w:rPr>
          <w:rFonts w:eastAsia="Times New Roman"/>
          <w:color w:val="000000"/>
        </w:rPr>
        <w:br/>
        <w:t xml:space="preserve">Товариство знаходиться пiд безпосереднiм контролем Мiнiстерства палива та енергетики України (частка в статутному капiталi становить 87,4%). </w:t>
      </w:r>
      <w:r>
        <w:rPr>
          <w:rFonts w:eastAsia="Times New Roman"/>
          <w:color w:val="000000"/>
        </w:rPr>
        <w:br/>
        <w:t>Пов’язаними сторонами Товариства є:</w:t>
      </w:r>
      <w:r>
        <w:rPr>
          <w:rFonts w:eastAsia="Times New Roman"/>
          <w:color w:val="000000"/>
        </w:rPr>
        <w:br/>
        <w:t>- провiдний управлiнський персонал та члени їхнiх сiмей;</w:t>
      </w:r>
      <w:r>
        <w:rPr>
          <w:rFonts w:eastAsia="Times New Roman"/>
          <w:color w:val="000000"/>
        </w:rPr>
        <w:br/>
      </w:r>
      <w:r>
        <w:rPr>
          <w:rFonts w:eastAsia="Times New Roman"/>
          <w:color w:val="000000"/>
        </w:rPr>
        <w:lastRenderedPageBreak/>
        <w:t>- державнi пiдприємства України, якi належать до сфери управлiння Мiнiстерства палива та енергетики України.</w:t>
      </w:r>
      <w:r>
        <w:rPr>
          <w:rFonts w:eastAsia="Times New Roman"/>
          <w:color w:val="000000"/>
        </w:rPr>
        <w:br/>
        <w:t xml:space="preserve">Iнформацiя про iстотнi обсяги та залишки за операцiями iз пов’язаними сторонами станом на i за роки, якi закiнчилися 31 грудня 2017 та 31 грудня 2016 рокiв, представлена у таблицях нижче: </w:t>
      </w:r>
      <w:r>
        <w:rPr>
          <w:rFonts w:eastAsia="Times New Roman"/>
          <w:color w:val="000000"/>
        </w:rPr>
        <w:br/>
      </w:r>
      <w:r>
        <w:rPr>
          <w:rFonts w:eastAsia="Times New Roman"/>
          <w:color w:val="000000"/>
        </w:rPr>
        <w:br/>
        <w:t xml:space="preserve">2017 рiк </w:t>
      </w:r>
      <w:r>
        <w:rPr>
          <w:rFonts w:eastAsia="Times New Roman"/>
          <w:color w:val="000000"/>
        </w:rPr>
        <w:br/>
        <w:t>2016 рiк</w:t>
      </w:r>
      <w:r>
        <w:rPr>
          <w:rFonts w:eastAsia="Times New Roman"/>
          <w:color w:val="000000"/>
        </w:rPr>
        <w:br/>
        <w:t>Доходи вiд реалiзацiї 17 460 4 278</w:t>
      </w:r>
      <w:r>
        <w:rPr>
          <w:rFonts w:eastAsia="Times New Roman"/>
          <w:color w:val="000000"/>
        </w:rPr>
        <w:br/>
        <w:t xml:space="preserve">Торгова дебiторська заборгованiсть 3 379 1 226 281 </w:t>
      </w:r>
      <w:r>
        <w:rPr>
          <w:rFonts w:eastAsia="Times New Roman"/>
          <w:color w:val="000000"/>
        </w:rPr>
        <w:br/>
        <w:t>Дебiторська заборгованiсть за виданими авансами 28 12 2</w:t>
      </w:r>
      <w:r>
        <w:rPr>
          <w:rFonts w:eastAsia="Times New Roman"/>
          <w:color w:val="000000"/>
        </w:rPr>
        <w:br/>
        <w:t>Суми заборгованостi пов'язаних сторiн наведенi за вирахуванням резерву у розмiрi 5 тисяч гривень станом на 31 грудня 2016 та 2017 рокiв.</w:t>
      </w:r>
      <w:r>
        <w:rPr>
          <w:rFonts w:eastAsia="Times New Roman"/>
          <w:color w:val="000000"/>
        </w:rPr>
        <w:br/>
      </w:r>
      <w:r>
        <w:rPr>
          <w:rFonts w:eastAsia="Times New Roman"/>
          <w:color w:val="000000"/>
        </w:rPr>
        <w:br/>
        <w:t xml:space="preserve">2017 рiк </w:t>
      </w:r>
      <w:r>
        <w:rPr>
          <w:rFonts w:eastAsia="Times New Roman"/>
          <w:color w:val="000000"/>
        </w:rPr>
        <w:br/>
        <w:t xml:space="preserve">2016 рiк </w:t>
      </w:r>
      <w:r>
        <w:rPr>
          <w:rFonts w:eastAsia="Times New Roman"/>
          <w:color w:val="000000"/>
        </w:rPr>
        <w:br/>
        <w:t>Кредиторська заборгованiсть за електроенергiю 3 3</w:t>
      </w:r>
      <w:r>
        <w:rPr>
          <w:rFonts w:eastAsia="Times New Roman"/>
          <w:color w:val="000000"/>
        </w:rPr>
        <w:br/>
        <w:t xml:space="preserve">Компенсацiя провiдному управлiнському персоналу </w:t>
      </w:r>
      <w:r>
        <w:rPr>
          <w:rFonts w:eastAsia="Times New Roman"/>
          <w:color w:val="000000"/>
        </w:rPr>
        <w:br/>
        <w:t xml:space="preserve">Провiдний управлiнський персонал у 2017 роцi представлений однiєю особою. У 2017 роцi компенсацiя провiдному управлiнському персоналу, що включена </w:t>
      </w:r>
      <w:proofErr w:type="gramStart"/>
      <w:r>
        <w:rPr>
          <w:rFonts w:eastAsia="Times New Roman"/>
          <w:color w:val="000000"/>
        </w:rPr>
        <w:t>до складу</w:t>
      </w:r>
      <w:proofErr w:type="gramEnd"/>
      <w:r>
        <w:rPr>
          <w:rFonts w:eastAsia="Times New Roman"/>
          <w:color w:val="000000"/>
        </w:rPr>
        <w:t xml:space="preserve"> витрат на персонал, включала заробiтну плату i додатковi поточнi премiї, i становила 793 тис. грн., у 2016 роцi – 628 тис. грн.</w:t>
      </w:r>
      <w:r>
        <w:rPr>
          <w:rFonts w:eastAsia="Times New Roman"/>
          <w:color w:val="000000"/>
        </w:rPr>
        <w:br/>
        <w:t>Дивiденди</w:t>
      </w:r>
      <w:r>
        <w:rPr>
          <w:rFonts w:eastAsia="Times New Roman"/>
          <w:color w:val="000000"/>
        </w:rPr>
        <w:br/>
        <w:t xml:space="preserve">Дивiденди за попереднi роки, виплаченi у 2017 роцi, в сумi 907 тисяч гривень. </w:t>
      </w:r>
      <w:r>
        <w:rPr>
          <w:rFonts w:eastAsia="Times New Roman"/>
          <w:color w:val="000000"/>
        </w:rPr>
        <w:br/>
        <w:t>27. Умовнi та контрактнi зобов’язання</w:t>
      </w:r>
      <w:r>
        <w:rPr>
          <w:rFonts w:eastAsia="Times New Roman"/>
          <w:color w:val="000000"/>
        </w:rPr>
        <w:br/>
        <w:t>Операцiйне середовище – Основну господарську дiяльнiсть Товариство провадить на територiї України. На ринки країн, якi розвиваються, наприклад, України, впливають економiчнi, полiтичнi, соцiальнi, правовi та законодавчi ризики, якi сильно вiдрiзняються вiд ризикiв країн iз бiльш розвинутими ринками. Вiдсутнiсть чiткої стратегiї економiчних реформ, iнституцiйнi слабкостi та несприятливий бiзнес-клiмат призвели до суттєвого скорочення надходжень вiд прямих iноземних iнвестицiй та нещодавнього зниження суверенного рейтингу України. Як результат, пiдприємства, якi провадять свою операцiйну дiяльнiсть в Українi, зазнають впливу пiдвищеного ризику девальвацiї української гривнi та вiдсутностi доступу до недорогого фiнансування. Полiтична криза, яка продовжується у країнi, iще бiльше погiршує фiнансову та економiчну ситуацiю України. Iнфляцiя в Українi за офiцiйними даними в 2017 роцi становила 113,7%. Якщо урядом не буде вжито чiтких i негайних заходiв, спрямованих на покращення системи управлiння, вiдновлення довiри iнвесторiв та виправлення економiчних дисбалансiв, пiдприємства, якi провадять свою дiяльнiсть в Українi, продовжуватимуть зазнавати негативного впливу вiд цих факторiв на свою операцiйну дiяльнiсть.</w:t>
      </w:r>
      <w:r>
        <w:rPr>
          <w:rFonts w:eastAsia="Times New Roman"/>
          <w:color w:val="000000"/>
        </w:rPr>
        <w:br/>
        <w:t>Оподаткування – У результатi загалом нестабiльної економiчної ситуацiї в Українi податковi органи придiляють все бiльше уваги дiловим колам. У зв’язку з цим податкова ситуацiя в Українi, як на мiсцевому рiвнi, так i на загальнодержавному рiвнi, постiйно змiнюється, i закони застосовуються, тлумачаться та впроваджуються непослiдовно. Невиконання вимог українського законодавства та нормативних актiв може призвести до накладання суттєвих штрафiв та пенi. У результатi майбутнiх податкових перевiрок можуть бути виявленi додатковi зобов’язання, якi можуть не вiдповiдати податковiй звiтностi Товариства. Такими зобов’язаннями можуть бути власне податки, а також штрафи, пеня та вiдсотки, розмiри яких можуть бути суттєвими. Незважаючи на те що, на думку Товариства, воно виконує вимоги українського податкового законодавства, за останнi роки було прийнято багато нових законiв та нормативних актiв щодо оподаткування та валютного регулювання, якi не завжди чiтко сформульованi.</w:t>
      </w:r>
      <w:r>
        <w:rPr>
          <w:rFonts w:eastAsia="Times New Roman"/>
          <w:color w:val="000000"/>
        </w:rPr>
        <w:br/>
        <w:t xml:space="preserve">Вплив держави на дiяльнiсть Товариства - Функцiонування електроенергетичної галузi є надзвичайно важливим для України з ряду причин, до яких належать економiчнi, стратегiчнi чинники та мiркування державної безпеки. Український Уряд має можливiсть значного впливу на дiяльнiсть Товариства за рахунок права власностi. Такий контроль може бути результатом </w:t>
      </w:r>
      <w:r>
        <w:rPr>
          <w:rFonts w:eastAsia="Times New Roman"/>
          <w:color w:val="000000"/>
        </w:rPr>
        <w:lastRenderedPageBreak/>
        <w:t>соцiальних та економiчних iнiцiатив, що може негативним чином вплинути на поточну та майбутню дiяльнiсть Товариства. Керiвництво не може оцiнити рiвень контролю, що може мати мiсце в майбутньому, та потенцiйний вплив на фiнансовий стан та результати дiяльностi Товариства.</w:t>
      </w:r>
      <w:r>
        <w:rPr>
          <w:rFonts w:eastAsia="Times New Roman"/>
          <w:color w:val="000000"/>
        </w:rPr>
        <w:br/>
        <w:t>Страхування - Товариство не має повного страхового покриття щодо свого виробничого обладнання на випадок переривання дiяльностi або виникнення зобов’язання перед третьою стороною у зв’язку зi шкодою, заподiяною майну чи навколишньому середовищу у результатi аварiй, пов’язаних з майном чи дiяльнiстю Товариства. За вiдсутностi достатнього страхового покриття iснує ризик того, що втрата чи знищення тих чи iнших активiв може мати значний негативний вплив на дiяльнiсть та фiнансовий стан Товариства.</w:t>
      </w:r>
      <w:r>
        <w:rPr>
          <w:rFonts w:eastAsia="Times New Roman"/>
          <w:color w:val="000000"/>
        </w:rPr>
        <w:br/>
        <w:t>Лiцензування - Товариство здiйснює свою основну дiяльнiсть на основi лiцензiї на право провадження господарської дiяльностi з виробництва електричної енергiї на територiї, де розташованi власнi мiсцевi (локальнi) електричнi мережi та лiцензiї на право провадження господарської дiяльностi з постачання електричної енергiї за нерегульованим тарифом на територiї, де розташованi власнi мiсцевi (локальнi) електричнi мережi серiї АГ №579671 вiд 15 лютого 2012 року та серiї АГ №579672 вiд 15 лютого 2012 року вiдповiдно. Обидвi лiцензiї безстроковi.</w:t>
      </w:r>
      <w:r>
        <w:rPr>
          <w:rFonts w:eastAsia="Times New Roman"/>
          <w:color w:val="000000"/>
        </w:rPr>
        <w:br/>
        <w:t xml:space="preserve">Судовi </w:t>
      </w:r>
      <w:proofErr w:type="gramStart"/>
      <w:r>
        <w:rPr>
          <w:rFonts w:eastAsia="Times New Roman"/>
          <w:color w:val="000000"/>
        </w:rPr>
        <w:t>позови За</w:t>
      </w:r>
      <w:proofErr w:type="gramEnd"/>
      <w:r>
        <w:rPr>
          <w:rFonts w:eastAsia="Times New Roman"/>
          <w:color w:val="000000"/>
        </w:rPr>
        <w:t xml:space="preserve"> перiод, що закiнчився 31 грудня 2017 року, та протягом попереднiх перiодiв Товариство не мало умовних зобов’язань, якi потребують висвiтлення у звiтностi.</w:t>
      </w:r>
      <w:r>
        <w:rPr>
          <w:rFonts w:eastAsia="Times New Roman"/>
          <w:color w:val="000000"/>
        </w:rPr>
        <w:br/>
        <w:t xml:space="preserve">28. Подiї пiсля звiтного перiоду </w:t>
      </w:r>
      <w:r>
        <w:rPr>
          <w:rFonts w:eastAsia="Times New Roman"/>
          <w:color w:val="000000"/>
        </w:rPr>
        <w:br/>
        <w:t>Пiсля звiтного перiоду до дати випуску цiєї звiтностi не вiдбулося подiй, якi б Товариство повинно було розкрити в цiй фiнансовiй звiтностi.</w:t>
      </w:r>
      <w:r>
        <w:rPr>
          <w:rFonts w:eastAsia="Times New Roman"/>
          <w:color w:val="000000"/>
        </w:rPr>
        <w:br/>
      </w:r>
      <w:r>
        <w:rPr>
          <w:rFonts w:eastAsia="Times New Roman"/>
          <w:color w:val="000000"/>
        </w:rPr>
        <w:br/>
        <w:t>29. Затвердження фiнансової звiтностi</w:t>
      </w:r>
      <w:r>
        <w:rPr>
          <w:rFonts w:eastAsia="Times New Roman"/>
          <w:color w:val="000000"/>
        </w:rPr>
        <w:br/>
        <w:t>Цей фiнансовий звiт Товариства станом на 31 грудня 2017р. та за рiк, що закiнчився на зазначену дату, затверджений вiд управлiнського персоналу Товариства до випуску 21 лютого 2018 року.</w:t>
      </w:r>
    </w:p>
    <w:p w:rsidR="00DB387B" w:rsidRDefault="00ED4C9B">
      <w:pPr>
        <w:pStyle w:val="4"/>
        <w:rPr>
          <w:rFonts w:eastAsia="Times New Roman"/>
          <w:color w:val="000000"/>
        </w:rPr>
      </w:pPr>
      <w:r>
        <w:rPr>
          <w:rFonts w:eastAsia="Times New Roman"/>
          <w:color w:val="000000"/>
        </w:rPr>
        <w:t>Продовження тексту приміток</w:t>
      </w:r>
    </w:p>
    <w:p w:rsidR="00ED4C9B" w:rsidRDefault="00ED4C9B">
      <w:pPr>
        <w:pStyle w:val="4"/>
        <w:rPr>
          <w:rFonts w:eastAsia="Times New Roman"/>
          <w:color w:val="000000"/>
        </w:rPr>
      </w:pPr>
      <w:r>
        <w:rPr>
          <w:rFonts w:eastAsia="Times New Roman"/>
          <w:color w:val="000000"/>
        </w:rPr>
        <w:t>Продовження тексту приміток</w:t>
      </w:r>
    </w:p>
    <w:sectPr w:rsidR="00ED4C9B">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2E"/>
    <w:rsid w:val="000B5A5B"/>
    <w:rsid w:val="00B34F2E"/>
    <w:rsid w:val="00DB387B"/>
    <w:rsid w:val="00ED4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707E8"/>
  <w15:chartTrackingRefBased/>
  <w15:docId w15:val="{FED26CF4-A41D-4ECC-83C0-7A4AC422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a"/>
    <w:pPr>
      <w:spacing w:before="100" w:beforeAutospacing="1" w:after="100" w:afterAutospacing="1"/>
    </w:p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5590">
      <w:marLeft w:val="0"/>
      <w:marRight w:val="0"/>
      <w:marTop w:val="0"/>
      <w:marBottom w:val="0"/>
      <w:divBdr>
        <w:top w:val="none" w:sz="0" w:space="0" w:color="auto"/>
        <w:left w:val="none" w:sz="0" w:space="0" w:color="auto"/>
        <w:bottom w:val="none" w:sz="0" w:space="0" w:color="auto"/>
        <w:right w:val="none" w:sz="0" w:space="0" w:color="auto"/>
      </w:divBdr>
    </w:div>
    <w:div w:id="112959127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95</Pages>
  <Words>34852</Words>
  <Characters>198662</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dc:creator>
  <cp:keywords/>
  <dc:description/>
  <cp:lastModifiedBy>yana</cp:lastModifiedBy>
  <cp:revision>3</cp:revision>
  <dcterms:created xsi:type="dcterms:W3CDTF">2018-04-19T11:59:00Z</dcterms:created>
  <dcterms:modified xsi:type="dcterms:W3CDTF">2018-04-23T05:36:00Z</dcterms:modified>
</cp:coreProperties>
</file>